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C27" w:rsidRPr="000E7704" w:rsidRDefault="00F81C27" w:rsidP="00F81C27">
      <w:pPr>
        <w:spacing w:after="0"/>
        <w:jc w:val="center"/>
        <w:rPr>
          <w:rFonts w:ascii="Times New Roman" w:hAnsi="Times New Roman" w:cs="Times New Roman"/>
          <w:b/>
          <w:sz w:val="24"/>
          <w:szCs w:val="24"/>
        </w:rPr>
      </w:pPr>
      <w:r w:rsidRPr="000E7704">
        <w:rPr>
          <w:rFonts w:ascii="Times New Roman" w:hAnsi="Times New Roman" w:cs="Times New Roman"/>
          <w:b/>
          <w:sz w:val="24"/>
          <w:szCs w:val="24"/>
        </w:rPr>
        <w:t>Eo-Oligocene Oil Shales of the Talawi, Lubuktaruk, and Kiliranjao Areas: Are they potential source rocks?</w:t>
      </w:r>
    </w:p>
    <w:p w:rsidR="00F81C27" w:rsidRPr="000E7704" w:rsidRDefault="00F81C27" w:rsidP="00F81C27">
      <w:pPr>
        <w:spacing w:after="0"/>
        <w:jc w:val="center"/>
        <w:rPr>
          <w:rFonts w:ascii="Times New Roman" w:hAnsi="Times New Roman" w:cs="Times New Roman"/>
          <w:b/>
          <w:sz w:val="24"/>
          <w:szCs w:val="24"/>
        </w:rPr>
      </w:pPr>
    </w:p>
    <w:p w:rsidR="00F81C27" w:rsidRPr="000E7704" w:rsidRDefault="00F81C27" w:rsidP="00F81C27">
      <w:pPr>
        <w:tabs>
          <w:tab w:val="left" w:pos="8304"/>
        </w:tabs>
        <w:spacing w:after="0"/>
        <w:rPr>
          <w:rFonts w:ascii="Times New Roman" w:hAnsi="Times New Roman" w:cs="Times New Roman"/>
          <w:b/>
          <w:sz w:val="24"/>
          <w:szCs w:val="24"/>
        </w:rPr>
      </w:pPr>
      <w:r w:rsidRPr="000E7704">
        <w:rPr>
          <w:rFonts w:ascii="Times New Roman" w:hAnsi="Times New Roman" w:cs="Times New Roman"/>
          <w:b/>
          <w:sz w:val="24"/>
          <w:szCs w:val="24"/>
        </w:rPr>
        <w:tab/>
      </w:r>
    </w:p>
    <w:p w:rsidR="00F81C27" w:rsidRPr="000E7704" w:rsidRDefault="00F81C27" w:rsidP="00F81C27">
      <w:pPr>
        <w:spacing w:after="0"/>
        <w:jc w:val="both"/>
        <w:rPr>
          <w:rFonts w:ascii="Times New Roman" w:hAnsi="Times New Roman" w:cs="Times New Roman"/>
          <w:b/>
          <w:sz w:val="24"/>
          <w:szCs w:val="24"/>
        </w:rPr>
      </w:pPr>
      <w:r w:rsidRPr="000E7704">
        <w:rPr>
          <w:rFonts w:ascii="Times New Roman" w:hAnsi="Times New Roman" w:cs="Times New Roman"/>
          <w:b/>
          <w:sz w:val="24"/>
          <w:szCs w:val="24"/>
        </w:rPr>
        <w:t>ABSTRACT</w:t>
      </w:r>
    </w:p>
    <w:p w:rsidR="00F81C27" w:rsidRPr="000E7704" w:rsidRDefault="00F81C27" w:rsidP="00F81C27">
      <w:pPr>
        <w:spacing w:after="0"/>
        <w:jc w:val="both"/>
        <w:rPr>
          <w:rFonts w:ascii="Times New Roman" w:hAnsi="Times New Roman" w:cs="Times New Roman"/>
          <w:sz w:val="24"/>
          <w:szCs w:val="24"/>
        </w:rPr>
      </w:pPr>
      <w:r w:rsidRPr="000E7704">
        <w:rPr>
          <w:rFonts w:ascii="Times New Roman" w:hAnsi="Times New Roman" w:cs="Times New Roman"/>
          <w:sz w:val="24"/>
          <w:szCs w:val="24"/>
        </w:rPr>
        <w:t>To anticipate the increasing energy demand, additional data and information covering unconventional fossil fuels such as oil shale must be acquired to promote the usage of alternative energy sources to crude oil. The Talawi and Lubuktaruk regions situated within intra-montane Ombilin Basin, and the Kiliranjao assumed to be a small intra montane basin are occupied by Eo-Oligocene sediments of Sangkarewang and Kiliran Formations, respectively. Field activity, geochemical screening techniques, and organic petrographic analysis, supported by SEM mode, are methods used. Most of the oil shale sequence is typically of an organically rich-succession comprising predominantly well-bedded, laminated and fissile, brownish to dark grey organic-rich shale and mudstone rocks. The exinite macerals within oil shale comprise mainly Pediastrum-lamalginite with minor cutinite, resinite, liptodetrinite, sporinite, bituminite, and rare Botryococcus-telalginite. Therefore, the oil shale deposits can be described as “lamosites”. Minor vitrinite maceral is also recognized. TOC analysis on selected shale samples corresponds to a fair up to excellent category of source rock characterization. The hydrogen index (HI) for all samples shows a range of values from 207 - 864, and pyrolysis yield (PY) ranges from 2.67 to 79.72 mg HC/g rock. The kerogen is suggested to be of mixed Type II and Type I autochthonous materials such as alginite, with minor allochthonous substances. Oil samples collected appear to be positioned within more oil prone rather than gas prone. Thermal maturity of the oil shales gained from T</w:t>
      </w:r>
      <w:r w:rsidRPr="000E7704">
        <w:rPr>
          <w:rFonts w:ascii="Times New Roman" w:hAnsi="Times New Roman" w:cs="Times New Roman"/>
          <w:sz w:val="24"/>
          <w:szCs w:val="24"/>
          <w:vertAlign w:val="subscript"/>
        </w:rPr>
        <w:t>max</w:t>
      </w:r>
      <w:r w:rsidRPr="000E7704">
        <w:rPr>
          <w:rFonts w:ascii="Times New Roman" w:hAnsi="Times New Roman" w:cs="Times New Roman"/>
          <w:sz w:val="24"/>
          <w:szCs w:val="24"/>
        </w:rPr>
        <w:t xml:space="preserve"> value and production index (PI) tends to show immature to marginally/early mature stage. A consistency in the thermal maturity level results by using both T</w:t>
      </w:r>
      <w:r w:rsidRPr="000E7704">
        <w:rPr>
          <w:rFonts w:ascii="Times New Roman" w:hAnsi="Times New Roman" w:cs="Times New Roman"/>
          <w:sz w:val="24"/>
          <w:szCs w:val="24"/>
          <w:vertAlign w:val="subscript"/>
        </w:rPr>
        <w:t>max</w:t>
      </w:r>
      <w:r w:rsidRPr="000E7704">
        <w:rPr>
          <w:rFonts w:ascii="Times New Roman" w:hAnsi="Times New Roman" w:cs="Times New Roman"/>
          <w:sz w:val="24"/>
          <w:szCs w:val="24"/>
        </w:rPr>
        <w:t xml:space="preserve"> and vitrinite reflectance value is recognized. On the basis of  </w:t>
      </w:r>
      <w:smartTag w:uri="urn:schemas-microsoft-com:office:smarttags" w:element="stockticker">
        <w:r w:rsidRPr="000E7704">
          <w:rPr>
            <w:rFonts w:ascii="Times New Roman" w:hAnsi="Times New Roman" w:cs="Times New Roman"/>
            <w:sz w:val="24"/>
            <w:szCs w:val="24"/>
          </w:rPr>
          <w:t>SEM</w:t>
        </w:r>
      </w:smartTag>
      <w:r w:rsidRPr="000E7704">
        <w:rPr>
          <w:rFonts w:ascii="Times New Roman" w:hAnsi="Times New Roman" w:cs="Times New Roman"/>
          <w:sz w:val="24"/>
          <w:szCs w:val="24"/>
        </w:rPr>
        <w:t xml:space="preserve"> analysis, the oil shale has undergone a late eodiagenetic process. Thereby, overall, vitrinite reflectance agreeing with T</w:t>
      </w:r>
      <w:r w:rsidRPr="000E7704">
        <w:rPr>
          <w:rFonts w:ascii="Times New Roman" w:hAnsi="Times New Roman" w:cs="Times New Roman"/>
          <w:sz w:val="24"/>
          <w:szCs w:val="24"/>
          <w:vertAlign w:val="subscript"/>
        </w:rPr>
        <w:t>max</w:t>
      </w:r>
      <w:r w:rsidRPr="000E7704">
        <w:rPr>
          <w:rFonts w:ascii="Times New Roman" w:hAnsi="Times New Roman" w:cs="Times New Roman"/>
          <w:sz w:val="24"/>
          <w:szCs w:val="24"/>
        </w:rPr>
        <w:t xml:space="preserve"> rates, are also consistent with the PI (production index) values and SEM result. By evaluating all the results of geochemical and organic petrological analyses conducted on shale lithologies (shale and mudstone), it can be concluded that the oil shales in those areas have a favourable potential for generation of shale oil or gas to be included as alternative energy resources in the future. </w:t>
      </w:r>
    </w:p>
    <w:p w:rsidR="00F81C27" w:rsidRPr="000E7704" w:rsidRDefault="00F81C27" w:rsidP="00F81C27">
      <w:pPr>
        <w:spacing w:before="120" w:after="0"/>
        <w:jc w:val="both"/>
        <w:rPr>
          <w:rFonts w:ascii="Times New Roman" w:hAnsi="Times New Roman" w:cs="Times New Roman"/>
          <w:sz w:val="24"/>
          <w:szCs w:val="24"/>
        </w:rPr>
      </w:pPr>
      <w:r w:rsidRPr="000E7704">
        <w:rPr>
          <w:rFonts w:ascii="Times New Roman" w:hAnsi="Times New Roman" w:cs="Times New Roman"/>
          <w:b/>
          <w:sz w:val="24"/>
          <w:szCs w:val="24"/>
        </w:rPr>
        <w:t>Keywords</w:t>
      </w:r>
      <w:r w:rsidRPr="000E7704">
        <w:rPr>
          <w:rFonts w:ascii="Times New Roman" w:hAnsi="Times New Roman" w:cs="Times New Roman"/>
          <w:sz w:val="24"/>
          <w:szCs w:val="24"/>
        </w:rPr>
        <w:t>: oil shale, alternative energy, effective source rock, lamosite, kerogen</w:t>
      </w:r>
    </w:p>
    <w:p w:rsidR="00F81C27" w:rsidRPr="000E7704" w:rsidRDefault="00F81C27" w:rsidP="00F81C27">
      <w:pPr>
        <w:spacing w:after="0"/>
        <w:jc w:val="both"/>
        <w:rPr>
          <w:rFonts w:ascii="Times New Roman" w:hAnsi="Times New Roman" w:cs="Times New Roman"/>
          <w:sz w:val="24"/>
          <w:szCs w:val="24"/>
        </w:rPr>
      </w:pPr>
    </w:p>
    <w:p w:rsidR="00F81C27" w:rsidRPr="000E7704" w:rsidRDefault="00F81C27" w:rsidP="00F81C27">
      <w:pPr>
        <w:spacing w:after="0"/>
        <w:jc w:val="both"/>
        <w:rPr>
          <w:rFonts w:ascii="Times New Roman" w:hAnsi="Times New Roman" w:cs="Times New Roman"/>
          <w:b/>
          <w:sz w:val="24"/>
          <w:szCs w:val="24"/>
        </w:rPr>
      </w:pPr>
    </w:p>
    <w:p w:rsidR="00F81C27" w:rsidRPr="000E7704" w:rsidRDefault="000E7704" w:rsidP="00F81C27">
      <w:pPr>
        <w:spacing w:after="0"/>
        <w:jc w:val="both"/>
        <w:rPr>
          <w:rFonts w:ascii="Times New Roman" w:hAnsi="Times New Roman" w:cs="Times New Roman"/>
          <w:b/>
          <w:sz w:val="24"/>
          <w:szCs w:val="24"/>
        </w:rPr>
      </w:pPr>
      <w:r>
        <w:rPr>
          <w:rFonts w:ascii="Times New Roman" w:hAnsi="Times New Roman" w:cs="Times New Roman"/>
          <w:b/>
          <w:sz w:val="24"/>
          <w:szCs w:val="24"/>
        </w:rPr>
        <w:t>INTRODUCTION</w:t>
      </w:r>
    </w:p>
    <w:p w:rsidR="00F81C27" w:rsidRPr="000E7704" w:rsidRDefault="00F81C27" w:rsidP="00F81C27">
      <w:pPr>
        <w:spacing w:after="0"/>
        <w:jc w:val="both"/>
        <w:rPr>
          <w:rFonts w:ascii="Times New Roman" w:hAnsi="Times New Roman" w:cs="Times New Roman"/>
          <w:sz w:val="24"/>
          <w:szCs w:val="24"/>
        </w:rPr>
      </w:pPr>
    </w:p>
    <w:p w:rsidR="00F81C27" w:rsidRPr="000E7704" w:rsidRDefault="00F81C27" w:rsidP="00F81C27">
      <w:pPr>
        <w:spacing w:after="0"/>
        <w:jc w:val="both"/>
        <w:rPr>
          <w:rFonts w:ascii="Times New Roman" w:hAnsi="Times New Roman" w:cs="Times New Roman"/>
          <w:b/>
          <w:spacing w:val="15"/>
          <w:sz w:val="24"/>
          <w:szCs w:val="24"/>
        </w:rPr>
      </w:pPr>
      <w:r w:rsidRPr="000E7704">
        <w:rPr>
          <w:rFonts w:ascii="Times New Roman" w:hAnsi="Times New Roman" w:cs="Times New Roman"/>
          <w:b/>
          <w:spacing w:val="15"/>
          <w:sz w:val="24"/>
          <w:szCs w:val="24"/>
        </w:rPr>
        <w:t>Background</w:t>
      </w:r>
    </w:p>
    <w:p w:rsidR="00F81C27" w:rsidRPr="000E7704" w:rsidRDefault="00F81C27" w:rsidP="00F81C27">
      <w:pPr>
        <w:spacing w:after="0"/>
        <w:ind w:firstLine="567"/>
        <w:jc w:val="both"/>
        <w:rPr>
          <w:rFonts w:ascii="Times New Roman" w:hAnsi="Times New Roman" w:cs="Times New Roman"/>
          <w:spacing w:val="9"/>
          <w:sz w:val="24"/>
          <w:szCs w:val="24"/>
        </w:rPr>
      </w:pPr>
      <w:r w:rsidRPr="000E7704">
        <w:rPr>
          <w:rFonts w:ascii="Times New Roman" w:eastAsia="Calibri" w:hAnsi="Times New Roman" w:cs="Times New Roman"/>
          <w:iCs/>
          <w:sz w:val="24"/>
          <w:szCs w:val="24"/>
        </w:rPr>
        <w:t xml:space="preserve">Oil shale classified as unconventional fossil fuel resources have a high potential to provide energy and to be developed. Furthermore, as sediments, oil shale having ash content of more than 33 %, contains organic matter yielding oil when destructively distilled (Gavin, 1924). </w:t>
      </w:r>
      <w:r w:rsidRPr="000E7704">
        <w:rPr>
          <w:rFonts w:ascii="Times New Roman" w:hAnsi="Times New Roman" w:cs="Times New Roman"/>
          <w:spacing w:val="9"/>
          <w:sz w:val="24"/>
          <w:szCs w:val="24"/>
        </w:rPr>
        <w:t xml:space="preserve">Yen and Chilingarian (1976) stated that oil shale is “composites” of tightly </w:t>
      </w:r>
      <w:r w:rsidRPr="000E7704">
        <w:rPr>
          <w:rFonts w:ascii="Times New Roman" w:hAnsi="Times New Roman" w:cs="Times New Roman"/>
          <w:spacing w:val="9"/>
          <w:sz w:val="24"/>
          <w:szCs w:val="24"/>
        </w:rPr>
        <w:lastRenderedPageBreak/>
        <w:t>bound organic and inorganic components. The ratio of organics to inorganics rarely exceed ¼.</w:t>
      </w:r>
    </w:p>
    <w:p w:rsidR="00F81C27" w:rsidRPr="000E7704" w:rsidRDefault="00F81C27" w:rsidP="00F81C27">
      <w:pPr>
        <w:spacing w:after="0"/>
        <w:ind w:firstLine="567"/>
        <w:jc w:val="both"/>
        <w:rPr>
          <w:rFonts w:ascii="Times New Roman" w:eastAsia="Calibri" w:hAnsi="Times New Roman" w:cs="Times New Roman"/>
          <w:sz w:val="24"/>
          <w:szCs w:val="24"/>
        </w:rPr>
      </w:pPr>
      <w:r w:rsidRPr="000E7704">
        <w:rPr>
          <w:rFonts w:ascii="Times New Roman" w:eastAsia="Calibri" w:hAnsi="Times New Roman" w:cs="Times New Roman"/>
          <w:sz w:val="24"/>
          <w:szCs w:val="24"/>
        </w:rPr>
        <w:t xml:space="preserve">Recently, in the view point of energy resource interest, the generation potential of shale oil  from oil shales, particularly as an alternative energy source, has been considered significantly as new energy resources. The oil shale has long been of interest as an indirect resource for fuel (energy) generated by a retorting process </w:t>
      </w:r>
      <w:r w:rsidRPr="000E7704">
        <w:rPr>
          <w:rFonts w:ascii="Times New Roman" w:hAnsi="Times New Roman" w:cs="Times New Roman"/>
          <w:sz w:val="24"/>
          <w:szCs w:val="24"/>
        </w:rPr>
        <w:t>and as a possible source rock for hydrocarbon during maturation.</w:t>
      </w:r>
    </w:p>
    <w:p w:rsidR="00F81C27" w:rsidRPr="000E7704" w:rsidRDefault="00F81C27" w:rsidP="00F81C27">
      <w:pPr>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 xml:space="preserve">The continuing decline of petroleum supplies, accompanied by increasing costs of petroleum-based products may present opportunities for oil shale to supply some of energy needs. </w:t>
      </w:r>
      <w:r w:rsidRPr="000E7704">
        <w:rPr>
          <w:rStyle w:val="style50"/>
          <w:rFonts w:ascii="Times New Roman" w:hAnsi="Times New Roman" w:cs="Times New Roman"/>
          <w:sz w:val="24"/>
          <w:szCs w:val="24"/>
        </w:rPr>
        <w:t xml:space="preserve">Therefore, </w:t>
      </w:r>
      <w:r w:rsidRPr="000E7704">
        <w:rPr>
          <w:rFonts w:ascii="Times New Roman" w:hAnsi="Times New Roman" w:cs="Times New Roman"/>
          <w:sz w:val="24"/>
          <w:szCs w:val="24"/>
        </w:rPr>
        <w:t xml:space="preserve">to find other alternative energy resources of fossil fuel origin, requires a serious effort for geologists. Most such studies have considered the main source for oil and condensate. Thereby, the oil-shale deposits in Indonesia, which have not been explored intensely, may be expected to be the new fossil energy resources in the future. </w:t>
      </w:r>
    </w:p>
    <w:p w:rsidR="00F81C27" w:rsidRPr="000E7704" w:rsidRDefault="00F81C27" w:rsidP="00F81C27">
      <w:pPr>
        <w:spacing w:after="0"/>
        <w:ind w:firstLine="567"/>
        <w:jc w:val="both"/>
        <w:rPr>
          <w:rFonts w:ascii="Times New Roman" w:hAnsi="Times New Roman" w:cs="Times New Roman"/>
          <w:sz w:val="24"/>
          <w:szCs w:val="24"/>
        </w:rPr>
      </w:pPr>
      <w:r w:rsidRPr="000E7704">
        <w:rPr>
          <w:rFonts w:ascii="Times New Roman" w:hAnsi="Times New Roman" w:cs="Times New Roman"/>
          <w:spacing w:val="12"/>
          <w:sz w:val="24"/>
          <w:szCs w:val="24"/>
        </w:rPr>
        <w:t xml:space="preserve">As reported in several reports and publications (Suwarna </w:t>
      </w:r>
      <w:r w:rsidRPr="000E7704">
        <w:rPr>
          <w:rFonts w:ascii="Times New Roman" w:hAnsi="Times New Roman" w:cs="Times New Roman"/>
          <w:i/>
          <w:spacing w:val="12"/>
          <w:sz w:val="24"/>
          <w:szCs w:val="24"/>
        </w:rPr>
        <w:t>et al</w:t>
      </w:r>
      <w:r w:rsidRPr="000E7704">
        <w:rPr>
          <w:rFonts w:ascii="Times New Roman" w:hAnsi="Times New Roman" w:cs="Times New Roman"/>
          <w:spacing w:val="12"/>
          <w:sz w:val="24"/>
          <w:szCs w:val="24"/>
        </w:rPr>
        <w:t xml:space="preserve">., 2000, 2001, 2002, 2005; Kusumahbrata </w:t>
      </w:r>
      <w:r w:rsidRPr="000E7704">
        <w:rPr>
          <w:rFonts w:ascii="Times New Roman" w:hAnsi="Times New Roman" w:cs="Times New Roman"/>
          <w:i/>
          <w:spacing w:val="12"/>
          <w:sz w:val="24"/>
          <w:szCs w:val="24"/>
        </w:rPr>
        <w:t>et al</w:t>
      </w:r>
      <w:r w:rsidRPr="000E7704">
        <w:rPr>
          <w:rFonts w:ascii="Times New Roman" w:hAnsi="Times New Roman" w:cs="Times New Roman"/>
          <w:spacing w:val="12"/>
          <w:sz w:val="24"/>
          <w:szCs w:val="24"/>
        </w:rPr>
        <w:t xml:space="preserve">.,2002, 2003, 2004; Heryanto </w:t>
      </w:r>
      <w:r w:rsidRPr="000E7704">
        <w:rPr>
          <w:rFonts w:ascii="Times New Roman" w:hAnsi="Times New Roman" w:cs="Times New Roman"/>
          <w:i/>
          <w:spacing w:val="12"/>
          <w:sz w:val="24"/>
          <w:szCs w:val="24"/>
        </w:rPr>
        <w:t>et al</w:t>
      </w:r>
      <w:r w:rsidRPr="000E7704">
        <w:rPr>
          <w:rFonts w:ascii="Times New Roman" w:hAnsi="Times New Roman" w:cs="Times New Roman"/>
          <w:spacing w:val="12"/>
          <w:sz w:val="24"/>
          <w:szCs w:val="24"/>
        </w:rPr>
        <w:t xml:space="preserve">., 2002; Susanto </w:t>
      </w:r>
      <w:r w:rsidRPr="000E7704">
        <w:rPr>
          <w:rFonts w:ascii="Times New Roman" w:hAnsi="Times New Roman" w:cs="Times New Roman"/>
          <w:i/>
          <w:spacing w:val="12"/>
          <w:sz w:val="24"/>
          <w:szCs w:val="24"/>
        </w:rPr>
        <w:t>et al</w:t>
      </w:r>
      <w:r w:rsidRPr="000E7704">
        <w:rPr>
          <w:rFonts w:ascii="Times New Roman" w:hAnsi="Times New Roman" w:cs="Times New Roman"/>
          <w:spacing w:val="12"/>
          <w:sz w:val="24"/>
          <w:szCs w:val="24"/>
        </w:rPr>
        <w:t xml:space="preserve">., 2004; Hermiyanto </w:t>
      </w:r>
      <w:r w:rsidRPr="000E7704">
        <w:rPr>
          <w:rFonts w:ascii="Times New Roman" w:hAnsi="Times New Roman" w:cs="Times New Roman"/>
          <w:i/>
          <w:spacing w:val="12"/>
          <w:sz w:val="24"/>
          <w:szCs w:val="24"/>
        </w:rPr>
        <w:t>et al</w:t>
      </w:r>
      <w:r w:rsidRPr="000E7704">
        <w:rPr>
          <w:rFonts w:ascii="Times New Roman" w:hAnsi="Times New Roman" w:cs="Times New Roman"/>
          <w:spacing w:val="12"/>
          <w:sz w:val="24"/>
          <w:szCs w:val="24"/>
        </w:rPr>
        <w:t>., 2008</w:t>
      </w:r>
      <w:r w:rsidR="00D469FD">
        <w:rPr>
          <w:rFonts w:ascii="Times New Roman" w:hAnsi="Times New Roman" w:cs="Times New Roman"/>
          <w:spacing w:val="12"/>
          <w:sz w:val="24"/>
          <w:szCs w:val="24"/>
          <w:lang w:val="en-US"/>
        </w:rPr>
        <w:t xml:space="preserve">; </w:t>
      </w:r>
      <w:r w:rsidR="00644481">
        <w:rPr>
          <w:rFonts w:ascii="Times New Roman" w:hAnsi="Times New Roman" w:cs="Times New Roman"/>
          <w:spacing w:val="12"/>
          <w:sz w:val="24"/>
          <w:szCs w:val="24"/>
          <w:lang w:val="en-US"/>
        </w:rPr>
        <w:t>W</w:t>
      </w:r>
      <w:r w:rsidR="00D469FD">
        <w:rPr>
          <w:rFonts w:ascii="Times New Roman" w:hAnsi="Times New Roman" w:cs="Times New Roman"/>
          <w:spacing w:val="12"/>
          <w:sz w:val="24"/>
          <w:szCs w:val="24"/>
          <w:lang w:val="en-US"/>
        </w:rPr>
        <w:t xml:space="preserve">ardayat </w:t>
      </w:r>
      <w:r w:rsidR="00D469FD" w:rsidRPr="00644481">
        <w:rPr>
          <w:rFonts w:ascii="Times New Roman" w:hAnsi="Times New Roman" w:cs="Times New Roman"/>
          <w:i/>
          <w:spacing w:val="12"/>
          <w:sz w:val="24"/>
          <w:szCs w:val="24"/>
          <w:lang w:val="en-US"/>
        </w:rPr>
        <w:t>et al</w:t>
      </w:r>
      <w:r w:rsidR="00D469FD">
        <w:rPr>
          <w:rFonts w:ascii="Times New Roman" w:hAnsi="Times New Roman" w:cs="Times New Roman"/>
          <w:spacing w:val="12"/>
          <w:sz w:val="24"/>
          <w:szCs w:val="24"/>
          <w:lang w:val="en-US"/>
        </w:rPr>
        <w:t>., 2013</w:t>
      </w:r>
      <w:r w:rsidRPr="000E7704">
        <w:rPr>
          <w:rFonts w:ascii="Times New Roman" w:hAnsi="Times New Roman" w:cs="Times New Roman"/>
          <w:spacing w:val="12"/>
          <w:sz w:val="24"/>
          <w:szCs w:val="24"/>
        </w:rPr>
        <w:t xml:space="preserve">) oil shale occurs in some parts of Sumatra, </w:t>
      </w:r>
      <w:r w:rsidRPr="000E7704">
        <w:rPr>
          <w:rFonts w:ascii="Times New Roman" w:hAnsi="Times New Roman" w:cs="Times New Roman"/>
          <w:spacing w:val="9"/>
          <w:sz w:val="24"/>
          <w:szCs w:val="24"/>
        </w:rPr>
        <w:t xml:space="preserve">including Kiliranjao and </w:t>
      </w:r>
      <w:r w:rsidRPr="000E7704">
        <w:rPr>
          <w:rFonts w:ascii="Times New Roman" w:hAnsi="Times New Roman" w:cs="Times New Roman"/>
          <w:spacing w:val="8"/>
          <w:sz w:val="24"/>
          <w:szCs w:val="24"/>
        </w:rPr>
        <w:t xml:space="preserve">Ombilin Basins in West Sumatra (Figure 1). </w:t>
      </w:r>
      <w:r w:rsidRPr="000E7704">
        <w:rPr>
          <w:rFonts w:ascii="Times New Roman" w:hAnsi="Times New Roman" w:cs="Times New Roman"/>
          <w:spacing w:val="11"/>
          <w:sz w:val="24"/>
          <w:szCs w:val="24"/>
        </w:rPr>
        <w:t xml:space="preserve">Those oil shales have preliminary been studied, however </w:t>
      </w:r>
      <w:r w:rsidRPr="000E7704">
        <w:rPr>
          <w:rFonts w:ascii="Times New Roman" w:hAnsi="Times New Roman" w:cs="Times New Roman"/>
          <w:spacing w:val="14"/>
          <w:sz w:val="24"/>
          <w:szCs w:val="24"/>
        </w:rPr>
        <w:t>their potential and quality have not been known well</w:t>
      </w:r>
      <w:r w:rsidR="00644481">
        <w:rPr>
          <w:rFonts w:ascii="Times New Roman" w:hAnsi="Times New Roman" w:cs="Times New Roman"/>
          <w:spacing w:val="14"/>
          <w:sz w:val="24"/>
          <w:szCs w:val="24"/>
          <w:lang w:val="en-US"/>
        </w:rPr>
        <w:t xml:space="preserve"> yet</w:t>
      </w:r>
      <w:r w:rsidRPr="000E7704">
        <w:rPr>
          <w:rFonts w:ascii="Times New Roman" w:hAnsi="Times New Roman" w:cs="Times New Roman"/>
          <w:spacing w:val="14"/>
          <w:sz w:val="24"/>
          <w:szCs w:val="24"/>
        </w:rPr>
        <w:t xml:space="preserve">. These oil shale basins seem to </w:t>
      </w:r>
      <w:r w:rsidRPr="000E7704">
        <w:rPr>
          <w:rFonts w:ascii="Times New Roman" w:hAnsi="Times New Roman" w:cs="Times New Roman"/>
          <w:spacing w:val="7"/>
          <w:sz w:val="24"/>
          <w:szCs w:val="24"/>
        </w:rPr>
        <w:t xml:space="preserve">superimpose the oil, gas, and coal basins, and thereby their basin setting is similar to </w:t>
      </w:r>
      <w:r w:rsidRPr="000E7704">
        <w:rPr>
          <w:rFonts w:ascii="Times New Roman" w:hAnsi="Times New Roman" w:cs="Times New Roman"/>
          <w:spacing w:val="4"/>
          <w:sz w:val="24"/>
          <w:szCs w:val="24"/>
        </w:rPr>
        <w:t xml:space="preserve">the tectonic configuration of the clastic depositional system (Panggabean &amp; Heryanto, </w:t>
      </w:r>
      <w:r w:rsidRPr="000E7704">
        <w:rPr>
          <w:rFonts w:ascii="Times New Roman" w:hAnsi="Times New Roman" w:cs="Times New Roman"/>
          <w:sz w:val="24"/>
          <w:szCs w:val="24"/>
        </w:rPr>
        <w:t>2003).</w:t>
      </w:r>
    </w:p>
    <w:p w:rsidR="00F81C27" w:rsidRPr="005D4961" w:rsidRDefault="00F81C27" w:rsidP="00F81C27">
      <w:pPr>
        <w:spacing w:after="0"/>
        <w:jc w:val="center"/>
        <w:rPr>
          <w:rFonts w:ascii="Times New Roman" w:hAnsi="Times New Roman" w:cs="Times New Roman"/>
          <w:spacing w:val="-1"/>
          <w:sz w:val="20"/>
          <w:szCs w:val="20"/>
        </w:rPr>
      </w:pPr>
    </w:p>
    <w:p w:rsidR="00F81C27" w:rsidRPr="005D4961" w:rsidRDefault="00F81C27" w:rsidP="00F81C27">
      <w:pPr>
        <w:spacing w:after="0"/>
        <w:jc w:val="center"/>
        <w:rPr>
          <w:rFonts w:ascii="Times New Roman" w:hAnsi="Times New Roman" w:cs="Times New Roman"/>
        </w:rPr>
      </w:pPr>
      <w:r w:rsidRPr="005D4961">
        <w:rPr>
          <w:rFonts w:ascii="Times New Roman" w:hAnsi="Times New Roman" w:cs="Times New Roman"/>
        </w:rPr>
        <w:object w:dxaOrig="3236" w:dyaOrig="3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75pt;height:222.9pt" o:ole="">
            <v:imagedata r:id="rId7" o:title=""/>
          </v:shape>
          <o:OLEObject Type="Embed" ProgID="CorelDraw.Graphic.16" ShapeID="_x0000_i1025" DrawAspect="Content" ObjectID="_1478627861" r:id="rId8"/>
        </w:object>
      </w:r>
    </w:p>
    <w:p w:rsidR="00F81C27" w:rsidRPr="000E7704" w:rsidRDefault="00F81C27" w:rsidP="00F81C27">
      <w:pPr>
        <w:spacing w:before="120" w:after="0"/>
        <w:jc w:val="center"/>
        <w:rPr>
          <w:rFonts w:ascii="Times New Roman" w:hAnsi="Times New Roman" w:cs="Times New Roman"/>
          <w:sz w:val="24"/>
          <w:szCs w:val="24"/>
        </w:rPr>
      </w:pPr>
      <w:r w:rsidRPr="000E7704">
        <w:rPr>
          <w:rFonts w:ascii="Times New Roman" w:hAnsi="Times New Roman" w:cs="Times New Roman"/>
          <w:sz w:val="24"/>
          <w:szCs w:val="24"/>
        </w:rPr>
        <w:t>Figure 1. Locality map of the South Sumatra Basin (de Coster, 1974).</w:t>
      </w:r>
    </w:p>
    <w:p w:rsidR="00F81C27" w:rsidRPr="005D4961" w:rsidRDefault="00F81C27" w:rsidP="00F81C27">
      <w:pPr>
        <w:spacing w:after="0"/>
        <w:jc w:val="center"/>
        <w:rPr>
          <w:rFonts w:ascii="Times New Roman" w:hAnsi="Times New Roman" w:cs="Times New Roman"/>
          <w:spacing w:val="-1"/>
          <w:sz w:val="20"/>
          <w:szCs w:val="20"/>
        </w:rPr>
      </w:pPr>
    </w:p>
    <w:p w:rsidR="00F81C27" w:rsidRPr="000E7704" w:rsidRDefault="00F81C27" w:rsidP="00F81C27">
      <w:pPr>
        <w:spacing w:after="0"/>
        <w:ind w:firstLine="567"/>
        <w:jc w:val="both"/>
        <w:rPr>
          <w:rFonts w:ascii="Times New Roman" w:hAnsi="Times New Roman" w:cs="Times New Roman"/>
          <w:sz w:val="24"/>
          <w:szCs w:val="24"/>
        </w:rPr>
      </w:pPr>
      <w:r w:rsidRPr="000E7704">
        <w:rPr>
          <w:rFonts w:ascii="Times New Roman" w:hAnsi="Times New Roman" w:cs="Times New Roman"/>
          <w:spacing w:val="7"/>
          <w:sz w:val="24"/>
          <w:szCs w:val="24"/>
        </w:rPr>
        <w:t>A</w:t>
      </w:r>
      <w:r w:rsidRPr="000E7704">
        <w:rPr>
          <w:rFonts w:ascii="Times New Roman" w:hAnsi="Times New Roman" w:cs="Times New Roman"/>
          <w:sz w:val="24"/>
          <w:szCs w:val="24"/>
        </w:rPr>
        <w:t xml:space="preserve"> general basic information on the presence of oil shale in Sumatra was gained from the geological maps scale 1:250.000, published by Geological Research and Development Centre, Bandung. </w:t>
      </w:r>
      <w:r w:rsidRPr="000E7704">
        <w:rPr>
          <w:rFonts w:ascii="Times New Roman" w:hAnsi="Times New Roman" w:cs="Times New Roman"/>
          <w:spacing w:val="2"/>
          <w:sz w:val="24"/>
          <w:szCs w:val="24"/>
        </w:rPr>
        <w:t xml:space="preserve">Additional data comprising </w:t>
      </w:r>
      <w:r w:rsidRPr="000E7704">
        <w:rPr>
          <w:rFonts w:ascii="Times New Roman" w:hAnsi="Times New Roman" w:cs="Times New Roman"/>
          <w:sz w:val="24"/>
          <w:szCs w:val="24"/>
        </w:rPr>
        <w:t xml:space="preserve">stratigraphic relationships, sedimentology, and </w:t>
      </w:r>
      <w:r w:rsidRPr="000E7704">
        <w:rPr>
          <w:rFonts w:ascii="Times New Roman" w:hAnsi="Times New Roman" w:cs="Times New Roman"/>
          <w:sz w:val="24"/>
          <w:szCs w:val="24"/>
        </w:rPr>
        <w:lastRenderedPageBreak/>
        <w:t xml:space="preserve">paleontology of the Old Tertiary sediments in </w:t>
      </w:r>
      <w:r w:rsidRPr="000E7704">
        <w:rPr>
          <w:rFonts w:ascii="Times New Roman" w:hAnsi="Times New Roman" w:cs="Times New Roman"/>
          <w:spacing w:val="-3"/>
          <w:sz w:val="24"/>
          <w:szCs w:val="24"/>
        </w:rPr>
        <w:t xml:space="preserve">Sumatra </w:t>
      </w:r>
      <w:r w:rsidRPr="000E7704">
        <w:rPr>
          <w:rFonts w:ascii="Times New Roman" w:hAnsi="Times New Roman" w:cs="Times New Roman"/>
          <w:spacing w:val="2"/>
          <w:sz w:val="24"/>
          <w:szCs w:val="24"/>
        </w:rPr>
        <w:t xml:space="preserve">were extracted from the oil and coal company geological reports. </w:t>
      </w:r>
    </w:p>
    <w:p w:rsidR="00F81C27" w:rsidRPr="000E7704" w:rsidRDefault="00F81C27" w:rsidP="00F81C27">
      <w:pPr>
        <w:spacing w:after="0"/>
        <w:ind w:firstLine="567"/>
        <w:jc w:val="both"/>
        <w:rPr>
          <w:rFonts w:ascii="Times New Roman" w:hAnsi="Times New Roman" w:cs="Times New Roman"/>
          <w:sz w:val="24"/>
          <w:szCs w:val="24"/>
          <w:lang w:val="it-IT"/>
        </w:rPr>
      </w:pPr>
      <w:r w:rsidRPr="000E7704">
        <w:rPr>
          <w:rFonts w:ascii="Times New Roman" w:hAnsi="Times New Roman" w:cs="Times New Roman"/>
          <w:sz w:val="24"/>
          <w:szCs w:val="24"/>
          <w:lang w:val="it-IT"/>
        </w:rPr>
        <w:t xml:space="preserve">In general, oil shale from Ombilin and Kiliranjao </w:t>
      </w:r>
      <w:r w:rsidRPr="000E7704">
        <w:rPr>
          <w:rFonts w:ascii="Times New Roman" w:hAnsi="Times New Roman" w:cs="Times New Roman"/>
          <w:sz w:val="24"/>
          <w:szCs w:val="24"/>
        </w:rPr>
        <w:t>Basins</w:t>
      </w:r>
      <w:r w:rsidRPr="000E7704">
        <w:rPr>
          <w:rFonts w:ascii="Times New Roman" w:hAnsi="Times New Roman" w:cs="Times New Roman"/>
          <w:sz w:val="24"/>
          <w:szCs w:val="24"/>
          <w:lang w:val="it-IT"/>
        </w:rPr>
        <w:t xml:space="preserve"> was deposited in a lacustrine to brackish environments associated with coal depositions. The narrow rock distribution, almost parallel to the direction of Great Sumatra Fault, and bounded by faults, indicates that the oil shale deposits were accumulated within the “syn-rift” basins. </w:t>
      </w:r>
      <w:r w:rsidRPr="000E7704">
        <w:rPr>
          <w:rFonts w:ascii="Times New Roman" w:hAnsi="Times New Roman" w:cs="Times New Roman"/>
          <w:sz w:val="24"/>
          <w:szCs w:val="24"/>
          <w:lang w:val="nb-NO"/>
        </w:rPr>
        <w:t xml:space="preserve">Several researches, </w:t>
      </w:r>
      <w:r w:rsidRPr="000E7704">
        <w:rPr>
          <w:rFonts w:ascii="Times New Roman" w:hAnsi="Times New Roman" w:cs="Times New Roman"/>
          <w:i/>
          <w:sz w:val="24"/>
          <w:szCs w:val="24"/>
          <w:lang w:val="nb-NO"/>
        </w:rPr>
        <w:t>i.e.</w:t>
      </w:r>
      <w:r w:rsidRPr="000E7704">
        <w:rPr>
          <w:rFonts w:ascii="Times New Roman" w:hAnsi="Times New Roman" w:cs="Times New Roman"/>
          <w:sz w:val="24"/>
          <w:szCs w:val="24"/>
          <w:lang w:val="nb-NO"/>
        </w:rPr>
        <w:t xml:space="preserve"> Suwarna </w:t>
      </w:r>
      <w:r w:rsidRPr="000E7704">
        <w:rPr>
          <w:rFonts w:ascii="Times New Roman" w:hAnsi="Times New Roman" w:cs="Times New Roman"/>
          <w:i/>
          <w:sz w:val="24"/>
          <w:szCs w:val="24"/>
          <w:lang w:val="nb-NO"/>
        </w:rPr>
        <w:t>et al</w:t>
      </w:r>
      <w:r w:rsidRPr="000E7704">
        <w:rPr>
          <w:rFonts w:ascii="Times New Roman" w:hAnsi="Times New Roman" w:cs="Times New Roman"/>
          <w:sz w:val="24"/>
          <w:szCs w:val="24"/>
          <w:lang w:val="nb-NO"/>
        </w:rPr>
        <w:t xml:space="preserve">. (2000 and 2001) show that some prospect areas are occupied by high oil content levels  and have good prospects to be developed, such as  Ombilin and Kiliranjao, West Sumatra. </w:t>
      </w:r>
    </w:p>
    <w:p w:rsidR="00F81C27" w:rsidRPr="000E7704" w:rsidRDefault="00F81C27" w:rsidP="00F81C27">
      <w:pPr>
        <w:spacing w:after="0"/>
        <w:ind w:firstLine="567"/>
        <w:jc w:val="both"/>
        <w:rPr>
          <w:rFonts w:ascii="Times New Roman" w:hAnsi="Times New Roman" w:cs="Times New Roman"/>
          <w:b/>
          <w:spacing w:val="8"/>
          <w:sz w:val="24"/>
          <w:szCs w:val="24"/>
        </w:rPr>
      </w:pPr>
    </w:p>
    <w:p w:rsidR="00F81C27" w:rsidRPr="000E7704" w:rsidRDefault="00F81C27" w:rsidP="00F81C27">
      <w:pPr>
        <w:pStyle w:val="Heading2"/>
        <w:spacing w:before="0" w:beforeAutospacing="0" w:after="0" w:afterAutospacing="0" w:line="276" w:lineRule="auto"/>
        <w:jc w:val="both"/>
        <w:rPr>
          <w:sz w:val="24"/>
          <w:szCs w:val="24"/>
        </w:rPr>
      </w:pPr>
      <w:r w:rsidRPr="000E7704">
        <w:rPr>
          <w:sz w:val="24"/>
          <w:szCs w:val="24"/>
        </w:rPr>
        <w:t>Objectives</w:t>
      </w:r>
    </w:p>
    <w:p w:rsidR="00F81C27" w:rsidRPr="000E7704" w:rsidRDefault="00F81C27" w:rsidP="00F81C27">
      <w:pPr>
        <w:spacing w:after="0"/>
        <w:ind w:firstLine="567"/>
        <w:jc w:val="both"/>
        <w:rPr>
          <w:rFonts w:ascii="Times New Roman" w:hAnsi="Times New Roman" w:cs="Times New Roman"/>
          <w:spacing w:val="-1"/>
          <w:sz w:val="24"/>
          <w:szCs w:val="24"/>
        </w:rPr>
      </w:pPr>
      <w:r w:rsidRPr="000E7704">
        <w:rPr>
          <w:rFonts w:ascii="Times New Roman" w:hAnsi="Times New Roman" w:cs="Times New Roman"/>
          <w:sz w:val="24"/>
          <w:szCs w:val="24"/>
        </w:rPr>
        <w:t xml:space="preserve">The information obtained from oil shale analyses is important for having a better </w:t>
      </w:r>
      <w:r w:rsidRPr="000E7704">
        <w:rPr>
          <w:rFonts w:ascii="Times New Roman" w:hAnsi="Times New Roman" w:cs="Times New Roman"/>
          <w:spacing w:val="12"/>
          <w:sz w:val="24"/>
          <w:szCs w:val="24"/>
        </w:rPr>
        <w:t xml:space="preserve">understanding on the sediments and organic matter content, predominantly, relating to shale oil </w:t>
      </w:r>
      <w:r w:rsidRPr="000E7704">
        <w:rPr>
          <w:rFonts w:ascii="Times New Roman" w:hAnsi="Times New Roman" w:cs="Times New Roman"/>
          <w:spacing w:val="14"/>
          <w:sz w:val="24"/>
          <w:szCs w:val="24"/>
        </w:rPr>
        <w:t>(hydrocarbon) potential, within the Eocene-Oligocene sediments in Ombilin and Kiliranjao Basins</w:t>
      </w:r>
      <w:r w:rsidRPr="000E7704">
        <w:rPr>
          <w:rFonts w:ascii="Times New Roman" w:hAnsi="Times New Roman" w:cs="Times New Roman"/>
          <w:spacing w:val="-1"/>
          <w:sz w:val="24"/>
          <w:szCs w:val="24"/>
        </w:rPr>
        <w:t xml:space="preserve">. </w:t>
      </w:r>
      <w:r w:rsidRPr="000E7704">
        <w:rPr>
          <w:rFonts w:ascii="Times New Roman" w:hAnsi="Times New Roman" w:cs="Times New Roman"/>
          <w:sz w:val="24"/>
          <w:szCs w:val="24"/>
        </w:rPr>
        <w:t xml:space="preserve">This paper evaluates and discusses the potential of </w:t>
      </w:r>
      <w:r w:rsidRPr="000E7704">
        <w:rPr>
          <w:rFonts w:ascii="Times New Roman" w:hAnsi="Times New Roman" w:cs="Times New Roman"/>
          <w:spacing w:val="4"/>
          <w:sz w:val="24"/>
          <w:szCs w:val="24"/>
        </w:rPr>
        <w:t>shale sequence exposed in Talawi, Lubuktaruk, and Kiliranjao areas, West Sumatra, on the basis of lithofacies, organic petrography, Rock-Eval pyrolysis, and SEM analyses. The understanding of studied oil shale characteristics</w:t>
      </w:r>
      <w:r w:rsidRPr="000E7704">
        <w:rPr>
          <w:rFonts w:ascii="Times New Roman" w:hAnsi="Times New Roman" w:cs="Times New Roman"/>
          <w:spacing w:val="9"/>
          <w:sz w:val="24"/>
          <w:szCs w:val="24"/>
        </w:rPr>
        <w:t xml:space="preserve"> will be useful in selecting an efficient and effective techniques for their reso</w:t>
      </w:r>
      <w:r w:rsidRPr="000E7704">
        <w:rPr>
          <w:rFonts w:ascii="Times New Roman" w:hAnsi="Times New Roman" w:cs="Times New Roman"/>
          <w:sz w:val="24"/>
          <w:szCs w:val="24"/>
        </w:rPr>
        <w:t xml:space="preserve">urce potential assessment. The paper also informs "potential source rocks" those with sufficient organic content to produce hydrocarbons, </w:t>
      </w:r>
      <w:r w:rsidRPr="000E7704">
        <w:rPr>
          <w:rFonts w:ascii="Times New Roman" w:hAnsi="Times New Roman" w:cs="Times New Roman"/>
          <w:spacing w:val="-1"/>
          <w:sz w:val="24"/>
          <w:szCs w:val="24"/>
        </w:rPr>
        <w:t>whether it is oil-prone or gas-prone category</w:t>
      </w:r>
      <w:r w:rsidRPr="000E7704">
        <w:rPr>
          <w:rFonts w:ascii="Times New Roman" w:hAnsi="Times New Roman" w:cs="Times New Roman"/>
          <w:sz w:val="24"/>
          <w:szCs w:val="24"/>
        </w:rPr>
        <w:t xml:space="preserve">, at generative </w:t>
      </w:r>
      <w:r w:rsidRPr="000E7704">
        <w:rPr>
          <w:rFonts w:ascii="Times New Roman" w:hAnsi="Times New Roman" w:cs="Times New Roman"/>
          <w:spacing w:val="5"/>
          <w:sz w:val="24"/>
          <w:szCs w:val="24"/>
        </w:rPr>
        <w:t xml:space="preserve">temperatures, and "effective source rocks" - those potential source rocks which can be </w:t>
      </w:r>
      <w:r w:rsidRPr="000E7704">
        <w:rPr>
          <w:rFonts w:ascii="Times New Roman" w:hAnsi="Times New Roman" w:cs="Times New Roman"/>
          <w:sz w:val="24"/>
          <w:szCs w:val="24"/>
        </w:rPr>
        <w:t>shown to have reached generative temperatures.</w:t>
      </w:r>
    </w:p>
    <w:p w:rsidR="00F81C27" w:rsidRPr="000E7704" w:rsidRDefault="00F81C27" w:rsidP="00F81C27">
      <w:pPr>
        <w:widowControl w:val="0"/>
        <w:autoSpaceDE w:val="0"/>
        <w:autoSpaceDN w:val="0"/>
        <w:spacing w:after="0"/>
        <w:jc w:val="both"/>
        <w:rPr>
          <w:rFonts w:ascii="Times New Roman" w:hAnsi="Times New Roman" w:cs="Times New Roman"/>
          <w:sz w:val="24"/>
          <w:szCs w:val="24"/>
        </w:rPr>
      </w:pPr>
    </w:p>
    <w:p w:rsidR="00F81C27" w:rsidRPr="000E7704" w:rsidRDefault="00F81C27" w:rsidP="00F81C27">
      <w:pPr>
        <w:widowControl w:val="0"/>
        <w:autoSpaceDE w:val="0"/>
        <w:autoSpaceDN w:val="0"/>
        <w:spacing w:after="0"/>
        <w:jc w:val="both"/>
        <w:rPr>
          <w:rFonts w:ascii="Times New Roman" w:hAnsi="Times New Roman" w:cs="Times New Roman"/>
          <w:sz w:val="24"/>
          <w:szCs w:val="24"/>
        </w:rPr>
      </w:pPr>
    </w:p>
    <w:p w:rsidR="00F81C27" w:rsidRPr="000E7704" w:rsidRDefault="000E7704" w:rsidP="00F81C27">
      <w:pPr>
        <w:widowControl w:val="0"/>
        <w:autoSpaceDE w:val="0"/>
        <w:autoSpaceDN w:val="0"/>
        <w:spacing w:after="0"/>
        <w:jc w:val="both"/>
        <w:rPr>
          <w:rFonts w:ascii="Times New Roman" w:hAnsi="Times New Roman" w:cs="Times New Roman"/>
          <w:b/>
          <w:spacing w:val="9"/>
          <w:sz w:val="24"/>
          <w:szCs w:val="24"/>
        </w:rPr>
      </w:pPr>
      <w:r>
        <w:rPr>
          <w:rFonts w:ascii="Times New Roman" w:hAnsi="Times New Roman" w:cs="Times New Roman"/>
          <w:b/>
          <w:spacing w:val="9"/>
          <w:sz w:val="24"/>
          <w:szCs w:val="24"/>
        </w:rPr>
        <w:t>METHODS, ANALYTICAL PROCEDURES, AND MATERIAL</w:t>
      </w:r>
    </w:p>
    <w:p w:rsidR="00F81C27" w:rsidRPr="000E7704" w:rsidRDefault="00F81C27" w:rsidP="00F81C27">
      <w:pPr>
        <w:widowControl w:val="0"/>
        <w:autoSpaceDE w:val="0"/>
        <w:autoSpaceDN w:val="0"/>
        <w:spacing w:after="0"/>
        <w:jc w:val="both"/>
        <w:rPr>
          <w:rFonts w:ascii="Times New Roman" w:hAnsi="Times New Roman" w:cs="Times New Roman"/>
          <w:spacing w:val="9"/>
          <w:sz w:val="24"/>
          <w:szCs w:val="24"/>
        </w:rPr>
      </w:pPr>
    </w:p>
    <w:p w:rsidR="00F81C27" w:rsidRPr="000E7704" w:rsidRDefault="00F81C27" w:rsidP="00F81C27">
      <w:pPr>
        <w:widowControl w:val="0"/>
        <w:autoSpaceDE w:val="0"/>
        <w:autoSpaceDN w:val="0"/>
        <w:spacing w:after="0"/>
        <w:ind w:firstLine="567"/>
        <w:jc w:val="both"/>
        <w:rPr>
          <w:rFonts w:ascii="Times New Roman" w:eastAsia="Calibri" w:hAnsi="Times New Roman" w:cs="Times New Roman"/>
          <w:sz w:val="24"/>
          <w:szCs w:val="24"/>
        </w:rPr>
      </w:pPr>
      <w:r w:rsidRPr="000E7704">
        <w:rPr>
          <w:rFonts w:ascii="Times New Roman" w:hAnsi="Times New Roman" w:cs="Times New Roman"/>
          <w:spacing w:val="9"/>
          <w:sz w:val="24"/>
          <w:szCs w:val="24"/>
        </w:rPr>
        <w:t xml:space="preserve">Various geologic field investigations and </w:t>
      </w:r>
      <w:r w:rsidRPr="000E7704">
        <w:rPr>
          <w:rFonts w:ascii="Times New Roman" w:hAnsi="Times New Roman" w:cs="Times New Roman"/>
          <w:sz w:val="24"/>
          <w:szCs w:val="24"/>
        </w:rPr>
        <w:t xml:space="preserve">laboratory techniques were used, in </w:t>
      </w:r>
      <w:r w:rsidRPr="000E7704">
        <w:rPr>
          <w:rFonts w:ascii="Times New Roman" w:hAnsi="Times New Roman" w:cs="Times New Roman"/>
          <w:spacing w:val="9"/>
          <w:sz w:val="24"/>
          <w:szCs w:val="24"/>
        </w:rPr>
        <w:t>order to achieve the aims of this study</w:t>
      </w:r>
      <w:r w:rsidRPr="000E7704">
        <w:rPr>
          <w:rFonts w:ascii="Times New Roman" w:hAnsi="Times New Roman" w:cs="Times New Roman"/>
          <w:sz w:val="24"/>
          <w:szCs w:val="24"/>
        </w:rPr>
        <w:t xml:space="preserve">. Primary fieldwork activity includes accurate </w:t>
      </w:r>
      <w:r w:rsidRPr="000E7704">
        <w:rPr>
          <w:rFonts w:ascii="Times New Roman" w:hAnsi="Times New Roman" w:cs="Times New Roman"/>
          <w:spacing w:val="-1"/>
          <w:sz w:val="24"/>
          <w:szCs w:val="24"/>
        </w:rPr>
        <w:t xml:space="preserve">determination, observations, and measurement on sedimentology, organic matter characteristics, and detailed stratigraphy of the strata containing oil shales. </w:t>
      </w:r>
      <w:r w:rsidRPr="000E7704">
        <w:rPr>
          <w:rFonts w:ascii="Times New Roman" w:hAnsi="Times New Roman" w:cs="Times New Roman"/>
          <w:sz w:val="24"/>
          <w:szCs w:val="24"/>
        </w:rPr>
        <w:t xml:space="preserve">Afterwards, collection of field data and samples for geochemical and </w:t>
      </w:r>
      <w:r w:rsidRPr="000E7704">
        <w:rPr>
          <w:rFonts w:ascii="Times New Roman" w:hAnsi="Times New Roman" w:cs="Times New Roman"/>
          <w:spacing w:val="6"/>
          <w:sz w:val="24"/>
          <w:szCs w:val="24"/>
        </w:rPr>
        <w:t xml:space="preserve">organic petrographic analyses were </w:t>
      </w:r>
      <w:r w:rsidRPr="000E7704">
        <w:rPr>
          <w:rFonts w:ascii="Times New Roman" w:hAnsi="Times New Roman" w:cs="Times New Roman"/>
          <w:sz w:val="24"/>
          <w:szCs w:val="24"/>
        </w:rPr>
        <w:t xml:space="preserve">carried out. </w:t>
      </w:r>
    </w:p>
    <w:p w:rsidR="00F81C27" w:rsidRPr="000E7704" w:rsidRDefault="00F81C27" w:rsidP="00F81C27">
      <w:pPr>
        <w:pStyle w:val="Heading2"/>
        <w:spacing w:before="0" w:beforeAutospacing="0" w:after="0" w:afterAutospacing="0" w:line="276" w:lineRule="auto"/>
        <w:ind w:firstLine="567"/>
        <w:jc w:val="both"/>
        <w:rPr>
          <w:b w:val="0"/>
          <w:sz w:val="24"/>
          <w:szCs w:val="24"/>
          <w:lang w:val="id-ID"/>
        </w:rPr>
      </w:pPr>
      <w:r w:rsidRPr="000E7704">
        <w:rPr>
          <w:b w:val="0"/>
          <w:sz w:val="24"/>
          <w:szCs w:val="24"/>
        </w:rPr>
        <w:t>The laboratory techniques predominantly deal with hydrocarbon potential</w:t>
      </w:r>
      <w:r w:rsidRPr="000E7704">
        <w:rPr>
          <w:b w:val="0"/>
          <w:sz w:val="24"/>
          <w:szCs w:val="24"/>
          <w:lang w:val="id-ID"/>
        </w:rPr>
        <w:t xml:space="preserve"> and </w:t>
      </w:r>
      <w:r w:rsidRPr="000E7704">
        <w:rPr>
          <w:b w:val="0"/>
          <w:sz w:val="24"/>
          <w:szCs w:val="24"/>
        </w:rPr>
        <w:t xml:space="preserve">organic matter type and content of the shales and mudstones forming </w:t>
      </w:r>
      <w:r w:rsidRPr="000E7704">
        <w:rPr>
          <w:b w:val="0"/>
          <w:spacing w:val="11"/>
          <w:sz w:val="24"/>
          <w:szCs w:val="24"/>
        </w:rPr>
        <w:t xml:space="preserve">the formation. The techniques are based on detailed analyses of petrographic and </w:t>
      </w:r>
      <w:r w:rsidRPr="000E7704">
        <w:rPr>
          <w:b w:val="0"/>
          <w:sz w:val="24"/>
          <w:szCs w:val="24"/>
        </w:rPr>
        <w:t>geochemical characteristics of the organic matter (DOM) and fine-grained clastics (shales and mudstones)</w:t>
      </w:r>
      <w:r w:rsidRPr="000E7704">
        <w:rPr>
          <w:b w:val="0"/>
          <w:sz w:val="24"/>
          <w:szCs w:val="24"/>
          <w:lang w:val="id-ID"/>
        </w:rPr>
        <w:t xml:space="preserve"> supported by </w:t>
      </w:r>
      <w:r w:rsidRPr="000E7704">
        <w:rPr>
          <w:b w:val="0"/>
          <w:sz w:val="24"/>
          <w:szCs w:val="24"/>
        </w:rPr>
        <w:t xml:space="preserve">retorting </w:t>
      </w:r>
      <w:r w:rsidRPr="000E7704">
        <w:rPr>
          <w:b w:val="0"/>
          <w:sz w:val="24"/>
          <w:szCs w:val="24"/>
          <w:lang w:val="id-ID"/>
        </w:rPr>
        <w:t xml:space="preserve">mode </w:t>
      </w:r>
      <w:r w:rsidRPr="000E7704">
        <w:rPr>
          <w:b w:val="0"/>
          <w:sz w:val="24"/>
          <w:szCs w:val="24"/>
        </w:rPr>
        <w:t>(destructive distillation).</w:t>
      </w:r>
    </w:p>
    <w:p w:rsidR="00F81C27" w:rsidRPr="000E7704" w:rsidRDefault="00F81C27" w:rsidP="00F81C27">
      <w:pPr>
        <w:pStyle w:val="Heading2"/>
        <w:spacing w:before="0" w:beforeAutospacing="0" w:after="0" w:afterAutospacing="0" w:line="276" w:lineRule="auto"/>
        <w:ind w:firstLine="567"/>
        <w:jc w:val="both"/>
        <w:rPr>
          <w:b w:val="0"/>
          <w:sz w:val="24"/>
          <w:szCs w:val="24"/>
        </w:rPr>
      </w:pPr>
      <w:r w:rsidRPr="000E7704">
        <w:rPr>
          <w:b w:val="0"/>
          <w:sz w:val="24"/>
          <w:szCs w:val="24"/>
        </w:rPr>
        <w:t xml:space="preserve">By measuring the quantity, quality, and state of thermal maturity of the contained organic matter, it is </w:t>
      </w:r>
      <w:r w:rsidRPr="000E7704">
        <w:rPr>
          <w:b w:val="0"/>
          <w:spacing w:val="6"/>
          <w:sz w:val="24"/>
          <w:szCs w:val="24"/>
        </w:rPr>
        <w:t xml:space="preserve">possible to understand the origin of hydrocarbon accumulations and potential, and to </w:t>
      </w:r>
      <w:r w:rsidRPr="000E7704">
        <w:rPr>
          <w:b w:val="0"/>
          <w:sz w:val="24"/>
          <w:szCs w:val="24"/>
        </w:rPr>
        <w:t>predict areas most favourable for future exploration. Furthermore, to gain effective source rock information, determination on its organic content, organic type, and thermal maturity have to be conducted.</w:t>
      </w:r>
    </w:p>
    <w:p w:rsidR="00F81C27" w:rsidRPr="000E7704" w:rsidRDefault="00F81C27" w:rsidP="00F81C27">
      <w:pPr>
        <w:widowControl w:val="0"/>
        <w:autoSpaceDE w:val="0"/>
        <w:autoSpaceDN w:val="0"/>
        <w:spacing w:after="0"/>
        <w:jc w:val="both"/>
        <w:rPr>
          <w:rFonts w:ascii="Times New Roman" w:hAnsi="Times New Roman" w:cs="Times New Roman"/>
          <w:sz w:val="24"/>
          <w:szCs w:val="24"/>
        </w:rPr>
      </w:pPr>
    </w:p>
    <w:p w:rsidR="00F81C27" w:rsidRPr="000E7704" w:rsidRDefault="00F81C27" w:rsidP="00F81C27">
      <w:pPr>
        <w:widowControl w:val="0"/>
        <w:autoSpaceDE w:val="0"/>
        <w:autoSpaceDN w:val="0"/>
        <w:spacing w:after="0"/>
        <w:jc w:val="both"/>
        <w:rPr>
          <w:rFonts w:ascii="Times New Roman" w:hAnsi="Times New Roman" w:cs="Times New Roman"/>
          <w:b/>
          <w:bCs/>
          <w:sz w:val="24"/>
          <w:szCs w:val="24"/>
        </w:rPr>
      </w:pPr>
      <w:r w:rsidRPr="000E7704">
        <w:rPr>
          <w:rFonts w:ascii="Times New Roman" w:hAnsi="Times New Roman" w:cs="Times New Roman"/>
          <w:b/>
          <w:bCs/>
          <w:spacing w:val="20"/>
          <w:sz w:val="24"/>
          <w:szCs w:val="24"/>
        </w:rPr>
        <w:lastRenderedPageBreak/>
        <w:t>Organic Petrology</w:t>
      </w:r>
    </w:p>
    <w:p w:rsidR="00F81C27" w:rsidRPr="000E7704"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 xml:space="preserve">Petrographic analysis was focused on maceral determination, especially exinite macerals and vitrinite reflectance. The samples were prepared as polished briquettes or blocks by using Australian Standard procedures (Australian Standards 2061 and 2856, 1986). The polished briquettes were prepared from crushed 1mm-size samples representing each sample, which then mounted in epoxy resin. Maceral composition and characteristics of the samples are gained from semi-quantitative examinations of polished samples. The analysis determines quantitatively the volume of organically derived, microscopically recognizable substances of organic matter, which are defined by their morphology and colour. The methods used for estimating organic carbon abundance, maceral type and composition, and vitrinite reflectance are outlined in </w:t>
      </w:r>
      <w:r w:rsidR="00E51F65" w:rsidRPr="000E7704">
        <w:rPr>
          <w:rFonts w:ascii="Times New Roman" w:hAnsi="Times New Roman" w:cs="Times New Roman"/>
          <w:sz w:val="24"/>
          <w:szCs w:val="24"/>
        </w:rPr>
        <w:t xml:space="preserve">Stach et al. (1982), </w:t>
      </w:r>
      <w:r w:rsidRPr="000E7704">
        <w:rPr>
          <w:rFonts w:ascii="Times New Roman" w:hAnsi="Times New Roman" w:cs="Times New Roman"/>
          <w:sz w:val="24"/>
          <w:szCs w:val="24"/>
        </w:rPr>
        <w:t xml:space="preserve">Cook &amp; Kantsler (1982), Sappal (1986), Struckmeyer &amp; Felton (1990), </w:t>
      </w:r>
      <w:r w:rsidR="00E51F65" w:rsidRPr="000E7704">
        <w:rPr>
          <w:rFonts w:ascii="Times New Roman" w:hAnsi="Times New Roman" w:cs="Times New Roman"/>
          <w:sz w:val="24"/>
          <w:szCs w:val="24"/>
        </w:rPr>
        <w:t>Thomas (2002), and Suarez-Ruiz and Crelling (2008)</w:t>
      </w:r>
      <w:r w:rsidRPr="000E7704">
        <w:rPr>
          <w:rFonts w:ascii="Times New Roman" w:hAnsi="Times New Roman" w:cs="Times New Roman"/>
          <w:sz w:val="24"/>
          <w:szCs w:val="24"/>
        </w:rPr>
        <w:t>.</w:t>
      </w:r>
    </w:p>
    <w:p w:rsidR="00F81C27" w:rsidRPr="000E7704"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eastAsia="Calibri" w:hAnsi="Times New Roman" w:cs="Times New Roman"/>
          <w:sz w:val="24"/>
          <w:szCs w:val="24"/>
        </w:rPr>
        <w:t xml:space="preserve">Optical method used in organic petrology analysis is reflected light method with and without fluorescence mode. The main advantage is to discriminate and locate different types of organic matter and macerals, and to measure their respective rank of evolution. The analysis provides different types of information on the thermal evolution of organic matter, particularly based on vitrinite reflectance measurements. These properties are considered to be indicators for maturation. </w:t>
      </w:r>
      <w:r w:rsidRPr="000E7704">
        <w:rPr>
          <w:rFonts w:ascii="Times New Roman" w:hAnsi="Times New Roman" w:cs="Times New Roman"/>
          <w:sz w:val="24"/>
          <w:szCs w:val="24"/>
        </w:rPr>
        <w:t>The analysis based on 500 counts on each sample under reflected white light, was performed microscopically on polished sample sections. Ordinary white reflected light from a tungsten lamp and violet-blue light from a high-pressure mercury lamp to initiate fluorescence were used for illumination. Maceral observation was conducted on a Leitz MPV-2 photomicroscope, in GRDC and Tekmira Laboratories.</w:t>
      </w:r>
    </w:p>
    <w:p w:rsidR="00F81C27" w:rsidRPr="000E7704"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 xml:space="preserve">Most macerals determined are defined by the International Committee for Coal Geology (ICCP, 1963 and 1971). Hutton (1980) introduced alginite A (telalginite) and B (lamalginite) terms, based on their significant morphological differences between constituents of the alginite. </w:t>
      </w:r>
    </w:p>
    <w:p w:rsidR="00F81C27" w:rsidRPr="000E7704" w:rsidRDefault="00F81C27" w:rsidP="00F81C27">
      <w:pPr>
        <w:spacing w:after="0"/>
        <w:ind w:firstLine="567"/>
        <w:jc w:val="both"/>
        <w:rPr>
          <w:rFonts w:ascii="Times New Roman" w:eastAsia="Calibri" w:hAnsi="Times New Roman" w:cs="Times New Roman"/>
          <w:sz w:val="24"/>
          <w:szCs w:val="24"/>
        </w:rPr>
      </w:pPr>
      <w:r w:rsidRPr="000E7704">
        <w:rPr>
          <w:rFonts w:ascii="Times New Roman" w:eastAsia="Calibri" w:hAnsi="Times New Roman" w:cs="Times New Roman"/>
          <w:sz w:val="24"/>
          <w:szCs w:val="24"/>
        </w:rPr>
        <w:t xml:space="preserve">The organic petrography was accompanied by SEM technique, to </w:t>
      </w:r>
      <w:r w:rsidRPr="000E7704">
        <w:rPr>
          <w:rFonts w:ascii="Times New Roman" w:hAnsi="Times New Roman" w:cs="Times New Roman"/>
          <w:sz w:val="24"/>
          <w:szCs w:val="24"/>
        </w:rPr>
        <w:t xml:space="preserve">provide an </w:t>
      </w:r>
      <w:r w:rsidRPr="000E7704">
        <w:rPr>
          <w:rFonts w:ascii="Times New Roman" w:eastAsia="Calibri" w:hAnsi="Times New Roman" w:cs="Times New Roman"/>
          <w:sz w:val="24"/>
          <w:szCs w:val="24"/>
        </w:rPr>
        <w:t xml:space="preserve">excellent information for revealing the type of rocks, organic and bitumen constituents, diagenesis feature and regime, and also the property of rocks, as well as to study concerning rock diagenesis (Wilson and Pittman, 1977; Pittman, 1979). In this study, however, the technique was focused on organic and bitumen constituents, to reveal oil shale characters. </w:t>
      </w:r>
    </w:p>
    <w:p w:rsidR="00F81C27" w:rsidRPr="000E7704" w:rsidRDefault="00F81C27" w:rsidP="00F81C27">
      <w:pPr>
        <w:spacing w:after="0"/>
        <w:jc w:val="both"/>
        <w:rPr>
          <w:rFonts w:ascii="Times New Roman" w:eastAsia="Calibri" w:hAnsi="Times New Roman" w:cs="Times New Roman"/>
          <w:sz w:val="24"/>
          <w:szCs w:val="24"/>
        </w:rPr>
      </w:pPr>
    </w:p>
    <w:p w:rsidR="00F81C27" w:rsidRPr="000E7704" w:rsidRDefault="00F81C27" w:rsidP="00F81C27">
      <w:pPr>
        <w:autoSpaceDE w:val="0"/>
        <w:autoSpaceDN w:val="0"/>
        <w:adjustRightInd w:val="0"/>
        <w:spacing w:after="0"/>
        <w:jc w:val="both"/>
        <w:rPr>
          <w:rFonts w:ascii="Times New Roman" w:hAnsi="Times New Roman" w:cs="Times New Roman"/>
          <w:bCs/>
          <w:i/>
          <w:sz w:val="24"/>
          <w:szCs w:val="24"/>
        </w:rPr>
      </w:pPr>
      <w:r w:rsidRPr="000E7704">
        <w:rPr>
          <w:rFonts w:ascii="Times New Roman" w:hAnsi="Times New Roman" w:cs="Times New Roman"/>
          <w:bCs/>
          <w:i/>
          <w:sz w:val="24"/>
          <w:szCs w:val="24"/>
        </w:rPr>
        <w:t>Organic Geochemical Analysis</w:t>
      </w:r>
    </w:p>
    <w:p w:rsidR="00F81C27" w:rsidRPr="000E7704" w:rsidRDefault="00F81C27" w:rsidP="00F81C27">
      <w:pPr>
        <w:spacing w:after="0"/>
        <w:ind w:firstLine="567"/>
        <w:jc w:val="both"/>
        <w:rPr>
          <w:rFonts w:ascii="Times New Roman" w:eastAsia="Calibri" w:hAnsi="Times New Roman" w:cs="Times New Roman"/>
          <w:sz w:val="24"/>
          <w:szCs w:val="24"/>
        </w:rPr>
      </w:pPr>
      <w:r w:rsidRPr="000E7704">
        <w:rPr>
          <w:rFonts w:ascii="Times New Roman" w:hAnsi="Times New Roman" w:cs="Times New Roman"/>
          <w:sz w:val="24"/>
          <w:szCs w:val="24"/>
        </w:rPr>
        <w:t>Total organic carbon (TOC), Rock-Eval pyrolysis, and also Retort Oven analyses are conducted to analyze organic geochemistry.  The Rock-Eval pyrolysis, with its limitations, can be used to characterize the type of  organic matter and the general nature of the hydrocarbon product (</w:t>
      </w:r>
      <w:r w:rsidRPr="000E7704">
        <w:rPr>
          <w:rFonts w:ascii="Times New Roman" w:hAnsi="Times New Roman" w:cs="Times New Roman"/>
          <w:i/>
          <w:sz w:val="24"/>
          <w:szCs w:val="24"/>
        </w:rPr>
        <w:t>eg</w:t>
      </w:r>
      <w:r w:rsidRPr="000E7704">
        <w:rPr>
          <w:rFonts w:ascii="Times New Roman" w:hAnsi="Times New Roman" w:cs="Times New Roman"/>
          <w:sz w:val="24"/>
          <w:szCs w:val="24"/>
        </w:rPr>
        <w:t xml:space="preserve">. oil </w:t>
      </w:r>
      <w:r w:rsidRPr="000E7704">
        <w:rPr>
          <w:rFonts w:ascii="Times New Roman" w:hAnsi="Times New Roman" w:cs="Times New Roman"/>
          <w:i/>
          <w:sz w:val="24"/>
          <w:szCs w:val="24"/>
        </w:rPr>
        <w:t>vs</w:t>
      </w:r>
      <w:r w:rsidRPr="000E7704">
        <w:rPr>
          <w:rFonts w:ascii="Times New Roman" w:hAnsi="Times New Roman" w:cs="Times New Roman"/>
          <w:sz w:val="24"/>
          <w:szCs w:val="24"/>
        </w:rPr>
        <w:t xml:space="preserve">. gas) which will be generated upon thermal maturation (Espitalie </w:t>
      </w:r>
      <w:r w:rsidRPr="000E7704">
        <w:rPr>
          <w:rFonts w:ascii="Times New Roman" w:hAnsi="Times New Roman" w:cs="Times New Roman"/>
          <w:i/>
          <w:sz w:val="24"/>
          <w:szCs w:val="24"/>
        </w:rPr>
        <w:t>et al</w:t>
      </w:r>
      <w:r w:rsidRPr="000E7704">
        <w:rPr>
          <w:rFonts w:ascii="Times New Roman" w:hAnsi="Times New Roman" w:cs="Times New Roman"/>
          <w:sz w:val="24"/>
          <w:szCs w:val="24"/>
        </w:rPr>
        <w:t xml:space="preserve">., 1977; Katz, 1983). </w:t>
      </w:r>
    </w:p>
    <w:p w:rsidR="00F81C27" w:rsidRPr="000E7704" w:rsidRDefault="00F81C27" w:rsidP="00F81C27">
      <w:pPr>
        <w:autoSpaceDE w:val="0"/>
        <w:autoSpaceDN w:val="0"/>
        <w:adjustRightInd w:val="0"/>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 xml:space="preserve">The quantities of organic matter in oil shale samples were determined based on the total content of organic carbon (TOC) measured by LECO analyzer and on generation potential (GP = S1+S2; free distillable hydrocarbons + generatable hydrocarbons) established by Rock-Eval pyrolysis. Hydrogen index HI (S2/TOC) was used to characterize the kerogen type. A plot of these indices on the van Krevelen diagram shows the type of organic matter </w:t>
      </w:r>
      <w:r w:rsidRPr="000E7704">
        <w:rPr>
          <w:rFonts w:ascii="Times New Roman" w:hAnsi="Times New Roman" w:cs="Times New Roman"/>
          <w:sz w:val="24"/>
          <w:szCs w:val="24"/>
        </w:rPr>
        <w:lastRenderedPageBreak/>
        <w:t xml:space="preserve">present in oil shale samples. Production index S1/(S1+S2) and </w:t>
      </w:r>
      <w:r w:rsidRPr="000E7704">
        <w:rPr>
          <w:rFonts w:ascii="Times New Roman" w:hAnsi="Times New Roman" w:cs="Times New Roman"/>
          <w:i/>
          <w:iCs/>
          <w:sz w:val="24"/>
          <w:szCs w:val="24"/>
        </w:rPr>
        <w:t xml:space="preserve">Tmax </w:t>
      </w:r>
      <w:r w:rsidRPr="000E7704">
        <w:rPr>
          <w:rFonts w:ascii="Times New Roman" w:hAnsi="Times New Roman" w:cs="Times New Roman"/>
          <w:sz w:val="24"/>
          <w:szCs w:val="24"/>
        </w:rPr>
        <w:t>were used to characterize the maturity of kerogen.</w:t>
      </w:r>
      <w:r w:rsidR="00E51F65" w:rsidRPr="000E7704">
        <w:rPr>
          <w:rFonts w:ascii="Times New Roman" w:hAnsi="Times New Roman" w:cs="Times New Roman"/>
          <w:sz w:val="24"/>
          <w:szCs w:val="24"/>
        </w:rPr>
        <w:t xml:space="preserve"> The analysis was carried out in LEMIGAS Laboratory.</w:t>
      </w:r>
    </w:p>
    <w:p w:rsidR="00F81C27" w:rsidRPr="000E7704" w:rsidRDefault="00F81C27" w:rsidP="00F81C27">
      <w:pPr>
        <w:pStyle w:val="Heading2"/>
        <w:spacing w:before="0" w:beforeAutospacing="0" w:after="0" w:afterAutospacing="0" w:line="276" w:lineRule="auto"/>
        <w:jc w:val="both"/>
        <w:rPr>
          <w:rFonts w:eastAsiaTheme="minorHAnsi"/>
          <w:bCs w:val="0"/>
          <w:i/>
          <w:sz w:val="24"/>
          <w:szCs w:val="24"/>
          <w:lang w:val="en-US" w:eastAsia="en-US"/>
        </w:rPr>
      </w:pPr>
    </w:p>
    <w:p w:rsidR="00F81C27" w:rsidRPr="000E7704" w:rsidRDefault="00F81C27" w:rsidP="00F81C27">
      <w:pPr>
        <w:pStyle w:val="Heading2"/>
        <w:spacing w:before="0" w:beforeAutospacing="0" w:after="0" w:afterAutospacing="0" w:line="276" w:lineRule="auto"/>
        <w:jc w:val="both"/>
        <w:rPr>
          <w:b w:val="0"/>
          <w:i/>
          <w:sz w:val="24"/>
          <w:szCs w:val="24"/>
        </w:rPr>
      </w:pPr>
      <w:r w:rsidRPr="000E7704">
        <w:rPr>
          <w:b w:val="0"/>
          <w:i/>
          <w:sz w:val="24"/>
          <w:szCs w:val="24"/>
        </w:rPr>
        <w:t>Retort Oven Analysis</w:t>
      </w:r>
    </w:p>
    <w:p w:rsidR="00F81C27" w:rsidRPr="000E7704" w:rsidRDefault="00F81C27" w:rsidP="00F81C27">
      <w:pPr>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Oil shale heated in the absence of oxygen (</w:t>
      </w:r>
      <w:hyperlink r:id="rId9" w:tgtFrame="_top" w:history="1">
        <w:r w:rsidRPr="000E7704">
          <w:rPr>
            <w:rFonts w:ascii="Times New Roman" w:hAnsi="Times New Roman" w:cs="Times New Roman"/>
            <w:sz w:val="24"/>
            <w:szCs w:val="24"/>
          </w:rPr>
          <w:t>destructive distillation</w:t>
        </w:r>
      </w:hyperlink>
      <w:r w:rsidRPr="000E7704">
        <w:rPr>
          <w:rFonts w:ascii="Times New Roman" w:hAnsi="Times New Roman" w:cs="Times New Roman"/>
          <w:sz w:val="24"/>
          <w:szCs w:val="24"/>
        </w:rPr>
        <w:t xml:space="preserve">) produced shale oil. This heating process is called retorting, and the equipment that is used to do the heating is known as a </w:t>
      </w:r>
      <w:bookmarkStart w:id="0" w:name="&amp;lid=ALINK"/>
      <w:r w:rsidR="00000870" w:rsidRPr="000E7704">
        <w:rPr>
          <w:rFonts w:ascii="Times New Roman" w:hAnsi="Times New Roman" w:cs="Times New Roman"/>
          <w:sz w:val="24"/>
          <w:szCs w:val="24"/>
        </w:rPr>
        <w:fldChar w:fldCharType="begin"/>
      </w:r>
      <w:r w:rsidRPr="000E7704">
        <w:rPr>
          <w:rFonts w:ascii="Times New Roman" w:hAnsi="Times New Roman" w:cs="Times New Roman"/>
          <w:sz w:val="24"/>
          <w:szCs w:val="24"/>
        </w:rPr>
        <w:instrText xml:space="preserve"> HYPERLINK "http://www.answers.com/topic/retort" \t "_top" </w:instrText>
      </w:r>
      <w:r w:rsidR="00000870" w:rsidRPr="000E7704">
        <w:rPr>
          <w:rFonts w:ascii="Times New Roman" w:hAnsi="Times New Roman" w:cs="Times New Roman"/>
          <w:sz w:val="24"/>
          <w:szCs w:val="24"/>
        </w:rPr>
        <w:fldChar w:fldCharType="separate"/>
      </w:r>
      <w:r w:rsidRPr="000E7704">
        <w:rPr>
          <w:rFonts w:ascii="Times New Roman" w:hAnsi="Times New Roman" w:cs="Times New Roman"/>
          <w:sz w:val="24"/>
          <w:szCs w:val="24"/>
        </w:rPr>
        <w:t>retort</w:t>
      </w:r>
      <w:r w:rsidR="00000870" w:rsidRPr="000E7704">
        <w:rPr>
          <w:rFonts w:ascii="Times New Roman" w:hAnsi="Times New Roman" w:cs="Times New Roman"/>
          <w:sz w:val="24"/>
          <w:szCs w:val="24"/>
        </w:rPr>
        <w:fldChar w:fldCharType="end"/>
      </w:r>
      <w:bookmarkEnd w:id="0"/>
      <w:r w:rsidRPr="000E7704">
        <w:rPr>
          <w:rFonts w:ascii="Times New Roman" w:hAnsi="Times New Roman" w:cs="Times New Roman"/>
          <w:sz w:val="24"/>
          <w:szCs w:val="24"/>
        </w:rPr>
        <w:t xml:space="preserve">. The rate at which the oil is produced depends upon the temperature at which the shale is retorted. Most references report retorting temperatures as being about 500°C (930°F). The technique was subsequently standardized as the American Society for Testing and Materials Method D-3904-80 (1984). </w:t>
      </w:r>
      <w:r w:rsidR="00E51F65" w:rsidRPr="000E7704">
        <w:rPr>
          <w:rFonts w:ascii="Times New Roman" w:hAnsi="Times New Roman" w:cs="Times New Roman"/>
          <w:sz w:val="24"/>
          <w:szCs w:val="24"/>
        </w:rPr>
        <w:t>The analysis was conducted in LEMIGAS Laboratory.</w:t>
      </w:r>
    </w:p>
    <w:p w:rsidR="00F81C27" w:rsidRPr="000E7704" w:rsidRDefault="00F81C27" w:rsidP="00F81C27">
      <w:pPr>
        <w:pStyle w:val="Heading2"/>
        <w:spacing w:before="0" w:beforeAutospacing="0" w:after="0" w:afterAutospacing="0" w:line="276" w:lineRule="auto"/>
        <w:jc w:val="both"/>
        <w:rPr>
          <w:sz w:val="24"/>
          <w:szCs w:val="24"/>
        </w:rPr>
      </w:pPr>
    </w:p>
    <w:p w:rsidR="00F81C27" w:rsidRPr="000E7704" w:rsidRDefault="00F81C27" w:rsidP="00F81C27">
      <w:pPr>
        <w:spacing w:after="0"/>
        <w:jc w:val="both"/>
        <w:rPr>
          <w:rFonts w:ascii="Times New Roman" w:hAnsi="Times New Roman" w:cs="Times New Roman"/>
          <w:b/>
          <w:sz w:val="24"/>
          <w:szCs w:val="24"/>
        </w:rPr>
      </w:pPr>
    </w:p>
    <w:p w:rsidR="00F81C27" w:rsidRPr="000E7704" w:rsidRDefault="00F81C27" w:rsidP="00F81C27">
      <w:pPr>
        <w:spacing w:after="0"/>
        <w:jc w:val="both"/>
        <w:rPr>
          <w:rFonts w:ascii="Times New Roman" w:hAnsi="Times New Roman" w:cs="Times New Roman"/>
          <w:b/>
          <w:sz w:val="24"/>
          <w:szCs w:val="24"/>
        </w:rPr>
      </w:pPr>
      <w:r w:rsidRPr="000E7704">
        <w:rPr>
          <w:rFonts w:ascii="Times New Roman" w:hAnsi="Times New Roman" w:cs="Times New Roman"/>
          <w:b/>
          <w:sz w:val="24"/>
          <w:szCs w:val="24"/>
        </w:rPr>
        <w:t>GEOLOGY</w:t>
      </w:r>
    </w:p>
    <w:p w:rsidR="00F81C27" w:rsidRPr="000E7704" w:rsidRDefault="00F81C27" w:rsidP="00F81C27">
      <w:pPr>
        <w:spacing w:after="0"/>
        <w:jc w:val="both"/>
        <w:rPr>
          <w:rFonts w:ascii="Times New Roman" w:hAnsi="Times New Roman" w:cs="Times New Roman"/>
          <w:b/>
          <w:sz w:val="24"/>
          <w:szCs w:val="24"/>
        </w:rPr>
      </w:pPr>
    </w:p>
    <w:p w:rsidR="00F81C27" w:rsidRPr="000E7704" w:rsidRDefault="00F81C27" w:rsidP="00F81C27">
      <w:pPr>
        <w:spacing w:after="0"/>
        <w:jc w:val="both"/>
        <w:rPr>
          <w:rFonts w:ascii="Times New Roman" w:hAnsi="Times New Roman" w:cs="Times New Roman"/>
          <w:b/>
          <w:sz w:val="24"/>
          <w:szCs w:val="24"/>
        </w:rPr>
      </w:pPr>
      <w:r w:rsidRPr="000E7704">
        <w:rPr>
          <w:rFonts w:ascii="Times New Roman" w:hAnsi="Times New Roman" w:cs="Times New Roman"/>
          <w:b/>
          <w:sz w:val="24"/>
          <w:szCs w:val="24"/>
        </w:rPr>
        <w:t>Geological Setting</w:t>
      </w:r>
    </w:p>
    <w:p w:rsidR="00F81C27" w:rsidRPr="000E7704" w:rsidRDefault="00F81C27" w:rsidP="00F81C27">
      <w:pPr>
        <w:spacing w:after="0"/>
        <w:ind w:firstLine="567"/>
        <w:jc w:val="both"/>
        <w:rPr>
          <w:rFonts w:ascii="Times New Roman" w:eastAsia="SimSun" w:hAnsi="Times New Roman" w:cs="Times New Roman"/>
          <w:sz w:val="24"/>
          <w:szCs w:val="24"/>
        </w:rPr>
      </w:pPr>
      <w:r w:rsidRPr="000E7704">
        <w:rPr>
          <w:rFonts w:ascii="Times New Roman" w:eastAsia="SimSun" w:hAnsi="Times New Roman" w:cs="Times New Roman"/>
          <w:sz w:val="24"/>
          <w:szCs w:val="24"/>
        </w:rPr>
        <w:t xml:space="preserve">Sumatra Island is situated along the southwestern edge of the Sunda Shelf, part of the Eurasia Continental Plate, directly adjoining the Indian-Australian Oceanic Plate (Figure 1). Due to the collision between those two plates, an oblique subduction zone is produced, situated along the Sunda Trench, outside the western coast of Sumatra Island (Hamilton, 1979;  Curray </w:t>
      </w:r>
      <w:r w:rsidRPr="000E7704">
        <w:rPr>
          <w:rFonts w:ascii="Times New Roman" w:eastAsia="SimSun" w:hAnsi="Times New Roman" w:cs="Times New Roman"/>
          <w:i/>
          <w:sz w:val="24"/>
          <w:szCs w:val="24"/>
        </w:rPr>
        <w:t>et al</w:t>
      </w:r>
      <w:r w:rsidRPr="000E7704">
        <w:rPr>
          <w:rFonts w:ascii="Times New Roman" w:eastAsia="SimSun" w:hAnsi="Times New Roman" w:cs="Times New Roman"/>
          <w:sz w:val="24"/>
          <w:szCs w:val="24"/>
        </w:rPr>
        <w:t xml:space="preserve">., 1979).  The subduction taking place led to the presence of magmatic arc such as Barisan Mountains and dextral strike-slip fault parallel to the plate edge, that is called the Sumatra Great Fault System (Fitch, 1972). Moreover, the intra-montane basins were formed, almost parallel in direction to the fault system, that is northwest – southeast direction.  Tectonically, the study areas are located at the Back-Arc Zone and Inter-Arc Zone or intra-montane area, underlain by pre-Tertiary rocks, which then is overlain by sediments and volcanics. </w:t>
      </w:r>
    </w:p>
    <w:p w:rsidR="00F81C27" w:rsidRPr="000E7704" w:rsidRDefault="00F81C27" w:rsidP="00F81C27">
      <w:pPr>
        <w:spacing w:after="0"/>
        <w:jc w:val="both"/>
        <w:rPr>
          <w:rFonts w:ascii="Times New Roman" w:eastAsia="SimSun" w:hAnsi="Times New Roman" w:cs="Times New Roman"/>
          <w:sz w:val="24"/>
          <w:szCs w:val="24"/>
        </w:rPr>
      </w:pPr>
    </w:p>
    <w:p w:rsidR="00F81C27" w:rsidRPr="000E7704" w:rsidRDefault="00E51F65" w:rsidP="00F81C27">
      <w:pPr>
        <w:pStyle w:val="Heading3"/>
        <w:spacing w:before="0"/>
        <w:rPr>
          <w:rFonts w:ascii="Times New Roman" w:eastAsia="Times New Roman" w:hAnsi="Times New Roman" w:cs="Times New Roman"/>
          <w:b w:val="0"/>
          <w:i/>
          <w:color w:val="auto"/>
          <w:sz w:val="24"/>
          <w:szCs w:val="24"/>
          <w:lang w:val="id-ID"/>
        </w:rPr>
      </w:pPr>
      <w:r w:rsidRPr="000E7704">
        <w:rPr>
          <w:rFonts w:ascii="Times New Roman" w:eastAsia="Times New Roman" w:hAnsi="Times New Roman" w:cs="Times New Roman"/>
          <w:b w:val="0"/>
          <w:i/>
          <w:color w:val="auto"/>
          <w:sz w:val="24"/>
          <w:szCs w:val="24"/>
          <w:lang w:val="id-ID"/>
        </w:rPr>
        <w:t xml:space="preserve">Talawi </w:t>
      </w:r>
      <w:r w:rsidR="00F81C27" w:rsidRPr="000E7704">
        <w:rPr>
          <w:rFonts w:ascii="Times New Roman" w:eastAsia="Times New Roman" w:hAnsi="Times New Roman" w:cs="Times New Roman"/>
          <w:b w:val="0"/>
          <w:i/>
          <w:color w:val="auto"/>
          <w:sz w:val="24"/>
          <w:szCs w:val="24"/>
          <w:lang w:val="id-ID"/>
        </w:rPr>
        <w:t>and Lubuktaruk Areas (</w:t>
      </w:r>
      <w:r w:rsidRPr="000E7704">
        <w:rPr>
          <w:rFonts w:ascii="Times New Roman" w:eastAsia="Times New Roman" w:hAnsi="Times New Roman" w:cs="Times New Roman"/>
          <w:b w:val="0"/>
          <w:i/>
          <w:color w:val="auto"/>
          <w:sz w:val="24"/>
          <w:szCs w:val="24"/>
          <w:lang w:val="id-ID"/>
        </w:rPr>
        <w:t xml:space="preserve">Ombilin </w:t>
      </w:r>
      <w:r w:rsidR="00F81C27" w:rsidRPr="000E7704">
        <w:rPr>
          <w:rFonts w:ascii="Times New Roman" w:eastAsia="Times New Roman" w:hAnsi="Times New Roman" w:cs="Times New Roman"/>
          <w:b w:val="0"/>
          <w:i/>
          <w:color w:val="auto"/>
          <w:sz w:val="24"/>
          <w:szCs w:val="24"/>
        </w:rPr>
        <w:t>Basin</w:t>
      </w:r>
      <w:r w:rsidR="00F81C27" w:rsidRPr="000E7704">
        <w:rPr>
          <w:rFonts w:ascii="Times New Roman" w:eastAsia="Times New Roman" w:hAnsi="Times New Roman" w:cs="Times New Roman"/>
          <w:b w:val="0"/>
          <w:i/>
          <w:color w:val="auto"/>
          <w:sz w:val="24"/>
          <w:szCs w:val="24"/>
          <w:lang w:val="id-ID"/>
        </w:rPr>
        <w:t>)</w:t>
      </w:r>
    </w:p>
    <w:p w:rsidR="00F81C27" w:rsidRPr="000E7704" w:rsidRDefault="00F81C27" w:rsidP="00F81C27">
      <w:pPr>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 xml:space="preserve">The geologic setting and history of the Ombilin Basin has been described in several previous publications (Silitonga and Kastowo, 1975; Cameron </w:t>
      </w:r>
      <w:r w:rsidRPr="000E7704">
        <w:rPr>
          <w:rFonts w:ascii="Times New Roman" w:hAnsi="Times New Roman" w:cs="Times New Roman"/>
          <w:i/>
          <w:sz w:val="24"/>
          <w:szCs w:val="24"/>
        </w:rPr>
        <w:t>et al</w:t>
      </w:r>
      <w:r w:rsidRPr="000E7704">
        <w:rPr>
          <w:rFonts w:ascii="Times New Roman" w:hAnsi="Times New Roman" w:cs="Times New Roman"/>
          <w:sz w:val="24"/>
          <w:szCs w:val="24"/>
        </w:rPr>
        <w:t>., 1981; Koning, 1985). An area of approximately 25 km by 60 km, trending parallel to the Sumatera axis, is present as the exposed portion of the Ombilin Basin. The basin developed in an intra-montane setting as a result of the subduction of  the Indian-Australian Plate beneath the Southeast Asian Plate, during the Late Cretaceous - Early Tertiary. It is a graben-like, pull-apart basin formed as a series of fault-bounded troughs (Koning, 1985). Predominantly, these troughs were filled with Tertiary terrestrial clastics, those are lacustrine and fluvial sediments, which overlies a complex of pre-Tertiary basement. Deposition of the Tertiary sedimentary units was tectonically controlled, and each rock unit is separated along their lower and upper contacts by a well-defined conformity with local depositional hiatus.</w:t>
      </w:r>
    </w:p>
    <w:p w:rsidR="00F81C27" w:rsidRPr="000E7704" w:rsidRDefault="00F81C27" w:rsidP="00F81C27">
      <w:pPr>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The principal source of the shale oil is the lacustrine – brackish sediments of Eocene - Early Oli</w:t>
      </w:r>
      <w:r w:rsidR="00E51F65" w:rsidRPr="000E7704">
        <w:rPr>
          <w:rFonts w:ascii="Times New Roman" w:hAnsi="Times New Roman" w:cs="Times New Roman"/>
          <w:sz w:val="24"/>
          <w:szCs w:val="24"/>
        </w:rPr>
        <w:t xml:space="preserve">gocene Sangkarewang Formation, </w:t>
      </w:r>
      <w:r w:rsidRPr="000E7704">
        <w:rPr>
          <w:rFonts w:ascii="Times New Roman" w:hAnsi="Times New Roman" w:cs="Times New Roman"/>
          <w:sz w:val="24"/>
          <w:szCs w:val="24"/>
        </w:rPr>
        <w:t>deposited in a subsiding basin under tropical conditions. In the deeper part of the basin, the rock unit comprises mainly calcareous shale and marl, brown to black, parallel laminated to very fissile; containing plant, fish, and bird-</w:t>
      </w:r>
      <w:r w:rsidRPr="000E7704">
        <w:rPr>
          <w:rFonts w:ascii="Times New Roman" w:hAnsi="Times New Roman" w:cs="Times New Roman"/>
          <w:sz w:val="24"/>
          <w:szCs w:val="24"/>
        </w:rPr>
        <w:lastRenderedPageBreak/>
        <w:t xml:space="preserve">track  fossils, as well as pyrite. Intercalations of calcareous quartz and feldspathic sandstone, graded-bedded, fining upwards, with slump structure locally. Calcareous characteristic of the rock is due to the abundance of limestone debris and bicarbonate-rich river water during the deposition of the sediments. Stratigraphically, the Sangkarewang Formation rests unconformably on the Pre-Tertiary rocks, and is conformably overlain by the Sawahlunto Coal-Measures. </w:t>
      </w:r>
    </w:p>
    <w:p w:rsidR="00F81C27" w:rsidRPr="000E7704" w:rsidRDefault="00F81C27" w:rsidP="00F81C27">
      <w:pPr>
        <w:spacing w:after="0"/>
        <w:rPr>
          <w:rFonts w:ascii="Times New Roman" w:hAnsi="Times New Roman" w:cs="Times New Roman"/>
          <w:sz w:val="24"/>
          <w:szCs w:val="24"/>
        </w:rPr>
      </w:pPr>
    </w:p>
    <w:p w:rsidR="00F81C27" w:rsidRPr="000E7704" w:rsidRDefault="00F81C27" w:rsidP="00F81C27">
      <w:pPr>
        <w:spacing w:after="0"/>
        <w:jc w:val="both"/>
        <w:rPr>
          <w:rFonts w:ascii="Times New Roman" w:hAnsi="Times New Roman" w:cs="Times New Roman"/>
          <w:i/>
          <w:sz w:val="24"/>
          <w:szCs w:val="24"/>
        </w:rPr>
      </w:pPr>
      <w:r w:rsidRPr="000E7704">
        <w:rPr>
          <w:rFonts w:ascii="Times New Roman" w:hAnsi="Times New Roman" w:cs="Times New Roman"/>
          <w:i/>
          <w:sz w:val="24"/>
          <w:szCs w:val="24"/>
        </w:rPr>
        <w:t>Kiliranjao</w:t>
      </w:r>
    </w:p>
    <w:p w:rsidR="00F81C27" w:rsidRPr="000E7704" w:rsidRDefault="00F81C27" w:rsidP="00F81C27">
      <w:pPr>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The Kiliranjao Sub-basin, situated approximately 60 km to the east of the Ombilin Basin, is filled with  siliciclastic-dominated sediments of the Kiliran Formation. Sedimentation of the rock unit, was tectonically controlled, and it developed in a periodically growing pre-Tertiary half-graben subbasin. The sedimentary sequence containing oil shale seams, was deposited in a lacustrine to marginal facies. Impressions of woody organic detritus (leaves, twigs, and barks) up to several centimetres in size are common to occur on bedding-plane surfaces within the siltstones.</w:t>
      </w:r>
    </w:p>
    <w:p w:rsidR="00F81C27" w:rsidRPr="000E7704" w:rsidRDefault="00F81C27" w:rsidP="00F81C27">
      <w:pPr>
        <w:spacing w:after="0"/>
        <w:ind w:firstLine="567"/>
        <w:jc w:val="both"/>
        <w:rPr>
          <w:rFonts w:ascii="Times New Roman" w:hAnsi="Times New Roman" w:cs="Times New Roman"/>
          <w:i/>
          <w:sz w:val="24"/>
          <w:szCs w:val="24"/>
        </w:rPr>
      </w:pPr>
    </w:p>
    <w:p w:rsidR="00F81C27" w:rsidRPr="000E7704" w:rsidRDefault="00F81C27" w:rsidP="00F81C27">
      <w:pPr>
        <w:pStyle w:val="Tl"/>
        <w:spacing w:line="276" w:lineRule="auto"/>
        <w:ind w:firstLine="567"/>
        <w:rPr>
          <w:szCs w:val="24"/>
        </w:rPr>
      </w:pPr>
      <w:r w:rsidRPr="000E7704">
        <w:rPr>
          <w:szCs w:val="24"/>
        </w:rPr>
        <w:t xml:space="preserve">The study area is situated probably within the westernmost part of the Central Sumatera Basin, one of the Indonesian important oil producing back-arc basins. However, it is interpreted to be an isolated small intra-montane basin, present as a nearly southeast-northwestward elongate form. </w:t>
      </w:r>
    </w:p>
    <w:p w:rsidR="00F81C27" w:rsidRPr="000E7704" w:rsidRDefault="00F81C27" w:rsidP="00F81C27">
      <w:pPr>
        <w:pStyle w:val="Tl"/>
        <w:spacing w:line="276" w:lineRule="auto"/>
        <w:ind w:firstLine="567"/>
        <w:rPr>
          <w:szCs w:val="24"/>
          <w:lang w:val="id-ID"/>
        </w:rPr>
      </w:pPr>
      <w:r w:rsidRPr="000E7704">
        <w:rPr>
          <w:szCs w:val="24"/>
        </w:rPr>
        <w:t>The oldest rock in the study area present as a basement of the subbasin is the Permo - Carboniferous Kuantan Group. The sub-basin is filled with Early Tertiary (Oligocene) siliciclastic-dominated sediments of Kiliran Formation and Quaternary Alluvium deposits. Sedimentation of the Tertiary sedimentary unit was tectonically controlled. The Kiliran Formation, generally, comprises a sequence of graben fill sediments, containing variegated shales and mudstones, sandstones, conglomerates, and coals. Predominantly, microlaminated to massive slightly calcareous organic-rich, brown to light grey mudstone forms the unit. Evidence of bioturbation occurs, and bottom conditions are presumed to have been anoxic. The association of frequent freshwater mollusc fossil</w:t>
      </w:r>
      <w:r w:rsidR="007C6953" w:rsidRPr="000E7704">
        <w:rPr>
          <w:szCs w:val="24"/>
          <w:lang w:val="id-ID"/>
        </w:rPr>
        <w:t xml:space="preserve">s such as </w:t>
      </w:r>
      <w:r w:rsidR="007C6953" w:rsidRPr="000E7704">
        <w:rPr>
          <w:i/>
          <w:szCs w:val="24"/>
          <w:lang w:val="id-ID"/>
        </w:rPr>
        <w:t>Paludina</w:t>
      </w:r>
      <w:r w:rsidR="007C6953" w:rsidRPr="000E7704">
        <w:rPr>
          <w:szCs w:val="24"/>
          <w:lang w:val="id-ID"/>
        </w:rPr>
        <w:t xml:space="preserve"> sp., </w:t>
      </w:r>
      <w:r w:rsidR="007C6953" w:rsidRPr="000E7704">
        <w:rPr>
          <w:i/>
          <w:szCs w:val="24"/>
          <w:lang w:val="id-ID"/>
        </w:rPr>
        <w:t>Brotia</w:t>
      </w:r>
      <w:r w:rsidR="007C6953" w:rsidRPr="000E7704">
        <w:rPr>
          <w:szCs w:val="24"/>
          <w:lang w:val="id-ID"/>
        </w:rPr>
        <w:t xml:space="preserve"> sp., and </w:t>
      </w:r>
      <w:r w:rsidR="007C6953" w:rsidRPr="000E7704">
        <w:rPr>
          <w:i/>
          <w:szCs w:val="24"/>
          <w:lang w:val="id-ID"/>
        </w:rPr>
        <w:t>Thiara</w:t>
      </w:r>
      <w:r w:rsidR="007C6953" w:rsidRPr="000E7704">
        <w:rPr>
          <w:szCs w:val="24"/>
          <w:lang w:val="id-ID"/>
        </w:rPr>
        <w:t xml:space="preserve"> sp. (Aswan </w:t>
      </w:r>
      <w:r w:rsidR="007C6953" w:rsidRPr="000E7704">
        <w:rPr>
          <w:i/>
          <w:szCs w:val="24"/>
          <w:lang w:val="id-ID"/>
        </w:rPr>
        <w:t>et al</w:t>
      </w:r>
      <w:r w:rsidR="007C6953" w:rsidRPr="000E7704">
        <w:rPr>
          <w:szCs w:val="24"/>
          <w:lang w:val="id-ID"/>
        </w:rPr>
        <w:t>., 2009)</w:t>
      </w:r>
      <w:r w:rsidRPr="000E7704">
        <w:rPr>
          <w:szCs w:val="24"/>
        </w:rPr>
        <w:t xml:space="preserve"> and </w:t>
      </w:r>
      <w:r w:rsidRPr="000E7704">
        <w:rPr>
          <w:i/>
          <w:szCs w:val="24"/>
        </w:rPr>
        <w:t>Bottryococcus</w:t>
      </w:r>
      <w:r w:rsidRPr="000E7704">
        <w:rPr>
          <w:szCs w:val="24"/>
        </w:rPr>
        <w:t xml:space="preserve"> algae contents</w:t>
      </w:r>
      <w:r w:rsidR="007C6953" w:rsidRPr="000E7704">
        <w:rPr>
          <w:szCs w:val="24"/>
          <w:lang w:val="id-ID"/>
        </w:rPr>
        <w:t xml:space="preserve"> (Suwarna </w:t>
      </w:r>
      <w:r w:rsidR="007C6953" w:rsidRPr="000E7704">
        <w:rPr>
          <w:i/>
          <w:szCs w:val="24"/>
          <w:lang w:val="id-ID"/>
        </w:rPr>
        <w:t>et al</w:t>
      </w:r>
      <w:r w:rsidR="007C6953" w:rsidRPr="000E7704">
        <w:rPr>
          <w:szCs w:val="24"/>
          <w:lang w:val="id-ID"/>
        </w:rPr>
        <w:t>, 2000 and 2001)</w:t>
      </w:r>
      <w:r w:rsidRPr="000E7704">
        <w:rPr>
          <w:szCs w:val="24"/>
        </w:rPr>
        <w:t xml:space="preserve">, indicates a lacustrine setting. Furthermore, the presence of </w:t>
      </w:r>
      <w:r w:rsidRPr="000E7704">
        <w:rPr>
          <w:szCs w:val="24"/>
          <w:lang w:val="id-ID"/>
        </w:rPr>
        <w:t xml:space="preserve">lamalginite </w:t>
      </w:r>
      <w:r w:rsidR="007C6953" w:rsidRPr="000E7704">
        <w:rPr>
          <w:szCs w:val="24"/>
          <w:lang w:val="id-ID"/>
        </w:rPr>
        <w:t xml:space="preserve">and telalginite </w:t>
      </w:r>
      <w:r w:rsidRPr="000E7704">
        <w:rPr>
          <w:szCs w:val="24"/>
          <w:lang w:val="id-ID"/>
        </w:rPr>
        <w:t>sub-maceral</w:t>
      </w:r>
      <w:r w:rsidR="007C6953" w:rsidRPr="000E7704">
        <w:rPr>
          <w:szCs w:val="24"/>
          <w:lang w:val="id-ID"/>
        </w:rPr>
        <w:t>s (Figure 2),</w:t>
      </w:r>
      <w:r w:rsidRPr="000E7704">
        <w:rPr>
          <w:szCs w:val="24"/>
        </w:rPr>
        <w:t xml:space="preserve">preserved assemblages of spores, </w:t>
      </w:r>
      <w:r w:rsidRPr="000E7704">
        <w:rPr>
          <w:szCs w:val="24"/>
          <w:lang w:val="id-ID"/>
        </w:rPr>
        <w:t>and framboidal pyr</w:t>
      </w:r>
      <w:r w:rsidR="00FC17DC" w:rsidRPr="000E7704">
        <w:rPr>
          <w:szCs w:val="24"/>
          <w:lang w:val="id-ID"/>
        </w:rPr>
        <w:t>ite (Figure 3</w:t>
      </w:r>
      <w:r w:rsidRPr="000E7704">
        <w:rPr>
          <w:szCs w:val="24"/>
          <w:lang w:val="id-ID"/>
        </w:rPr>
        <w:t xml:space="preserve">), </w:t>
      </w:r>
      <w:r w:rsidRPr="000E7704">
        <w:rPr>
          <w:szCs w:val="24"/>
        </w:rPr>
        <w:t>suggest a freshwater with minor marine incursion environment occurred.</w:t>
      </w:r>
    </w:p>
    <w:p w:rsidR="00FC17DC" w:rsidRDefault="00FC17DC" w:rsidP="00F81C27">
      <w:pPr>
        <w:pStyle w:val="Tl"/>
        <w:spacing w:line="276" w:lineRule="auto"/>
        <w:ind w:firstLine="567"/>
        <w:rPr>
          <w:sz w:val="20"/>
          <w:lang w:val="id-ID"/>
        </w:rPr>
      </w:pPr>
    </w:p>
    <w:p w:rsidR="00FC17DC" w:rsidRDefault="00FC17DC" w:rsidP="00F81C27">
      <w:pPr>
        <w:pStyle w:val="Tl"/>
        <w:spacing w:line="276" w:lineRule="auto"/>
        <w:ind w:firstLine="567"/>
        <w:rPr>
          <w:sz w:val="20"/>
          <w:lang w:val="id-ID"/>
        </w:rPr>
      </w:pPr>
    </w:p>
    <w:p w:rsidR="00FC17DC" w:rsidRDefault="00FC17DC" w:rsidP="00FC17DC">
      <w:pPr>
        <w:pStyle w:val="Tl"/>
        <w:spacing w:line="276" w:lineRule="auto"/>
        <w:ind w:firstLine="567"/>
        <w:rPr>
          <w:sz w:val="20"/>
          <w:lang w:val="id-ID"/>
        </w:rPr>
      </w:pPr>
      <w:r>
        <w:rPr>
          <w:noProof/>
          <w:sz w:val="20"/>
          <w:lang w:val="en-US"/>
        </w:rPr>
        <w:drawing>
          <wp:inline distT="0" distB="0" distL="0" distR="0">
            <wp:extent cx="2700627" cy="1828800"/>
            <wp:effectExtent l="0" t="0" r="5080" b="0"/>
            <wp:docPr id="6" name="Picture 6" descr="K:\Kuliah Rian&amp;Iqbal\OS Karbindo Potret\New folder\Scan10018 cro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uliah Rian&amp;Iqbal\OS Karbindo Potret\New folder\Scan10018 croped.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6371" cy="1832690"/>
                    </a:xfrm>
                    <a:prstGeom prst="rect">
                      <a:avLst/>
                    </a:prstGeom>
                    <a:noFill/>
                    <a:ln>
                      <a:noFill/>
                    </a:ln>
                  </pic:spPr>
                </pic:pic>
              </a:graphicData>
            </a:graphic>
          </wp:inline>
        </w:drawing>
      </w:r>
    </w:p>
    <w:p w:rsidR="00FC17DC" w:rsidRDefault="00FC17DC" w:rsidP="00FC17DC">
      <w:pPr>
        <w:pStyle w:val="Tl"/>
        <w:spacing w:line="276" w:lineRule="auto"/>
        <w:ind w:firstLine="567"/>
        <w:rPr>
          <w:sz w:val="20"/>
          <w:lang w:val="id-ID"/>
        </w:rPr>
      </w:pPr>
    </w:p>
    <w:p w:rsidR="00FC17DC" w:rsidRPr="000E7704" w:rsidRDefault="00FC17DC" w:rsidP="000E7704">
      <w:pPr>
        <w:pStyle w:val="Tl"/>
        <w:spacing w:line="276" w:lineRule="auto"/>
        <w:ind w:firstLine="567"/>
        <w:jc w:val="center"/>
        <w:rPr>
          <w:szCs w:val="24"/>
          <w:lang w:val="id-ID"/>
        </w:rPr>
      </w:pPr>
      <w:r w:rsidRPr="000E7704">
        <w:rPr>
          <w:szCs w:val="24"/>
          <w:lang w:val="id-ID"/>
        </w:rPr>
        <w:t>Figure 2. Photomicrograph of lamalginite, telalginite, and vitrinite in Kiliran shale (</w:t>
      </w:r>
      <w:r w:rsidR="000E7704">
        <w:rPr>
          <w:szCs w:val="24"/>
          <w:lang w:val="id-ID"/>
        </w:rPr>
        <w:t>fuorescence mode).</w:t>
      </w:r>
    </w:p>
    <w:p w:rsidR="00F81C27" w:rsidRPr="005D4961" w:rsidRDefault="00F81C27" w:rsidP="00F81C27">
      <w:pPr>
        <w:spacing w:after="0"/>
        <w:jc w:val="both"/>
        <w:rPr>
          <w:rFonts w:ascii="Times New Roman" w:hAnsi="Times New Roman" w:cs="Times New Roman"/>
          <w:b/>
          <w:sz w:val="20"/>
          <w:szCs w:val="20"/>
        </w:rPr>
      </w:pPr>
    </w:p>
    <w:p w:rsidR="00F81C27" w:rsidRPr="005D4961" w:rsidRDefault="00F81C27" w:rsidP="00F81C27">
      <w:pPr>
        <w:spacing w:after="0"/>
        <w:jc w:val="center"/>
        <w:rPr>
          <w:rFonts w:ascii="Times New Roman" w:hAnsi="Times New Roman" w:cs="Times New Roman"/>
          <w:b/>
          <w:sz w:val="20"/>
          <w:szCs w:val="20"/>
        </w:rPr>
      </w:pPr>
      <w:r w:rsidRPr="005D4961">
        <w:rPr>
          <w:rFonts w:ascii="Times New Roman" w:hAnsi="Times New Roman" w:cs="Times New Roman"/>
          <w:b/>
          <w:noProof/>
          <w:sz w:val="20"/>
          <w:szCs w:val="20"/>
          <w:lang w:val="en-US"/>
        </w:rPr>
        <w:drawing>
          <wp:inline distT="0" distB="0" distL="0" distR="0">
            <wp:extent cx="2630205" cy="1971924"/>
            <wp:effectExtent l="0" t="0" r="0" b="9525"/>
            <wp:docPr id="1" name="Picture 1" descr="J:\KULIAH S2\PAPERS\FOTO DAN TABEL SAMPEL (PAPER INTERNASIONAL\Figure 2. Photomicrograph of framboidal pyrite assemblage in Kiliran oil shal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KULIAH S2\PAPERS\FOTO DAN TABEL SAMPEL (PAPER INTERNASIONAL\Figure 2. Photomicrograph of framboidal pyrite assemblage in Kiliran oil shale .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1783" cy="1973107"/>
                    </a:xfrm>
                    <a:prstGeom prst="rect">
                      <a:avLst/>
                    </a:prstGeom>
                    <a:noFill/>
                    <a:ln>
                      <a:noFill/>
                    </a:ln>
                  </pic:spPr>
                </pic:pic>
              </a:graphicData>
            </a:graphic>
          </wp:inline>
        </w:drawing>
      </w:r>
    </w:p>
    <w:p w:rsidR="00F81C27" w:rsidRPr="000E7704" w:rsidRDefault="00FC17DC" w:rsidP="00F81C27">
      <w:pPr>
        <w:spacing w:before="120" w:after="0"/>
        <w:jc w:val="center"/>
        <w:rPr>
          <w:rFonts w:ascii="Times New Roman" w:hAnsi="Times New Roman" w:cs="Times New Roman"/>
          <w:sz w:val="24"/>
          <w:szCs w:val="24"/>
        </w:rPr>
      </w:pPr>
      <w:r w:rsidRPr="000E7704">
        <w:rPr>
          <w:rFonts w:ascii="Times New Roman" w:hAnsi="Times New Roman" w:cs="Times New Roman"/>
          <w:sz w:val="24"/>
          <w:szCs w:val="24"/>
        </w:rPr>
        <w:t>Figure 3</w:t>
      </w:r>
      <w:r w:rsidR="00F81C27" w:rsidRPr="000E7704">
        <w:rPr>
          <w:rFonts w:ascii="Times New Roman" w:hAnsi="Times New Roman" w:cs="Times New Roman"/>
          <w:sz w:val="24"/>
          <w:szCs w:val="24"/>
        </w:rPr>
        <w:t>. Photomicrograph of framboidal pyrite assemblage in Kiliran oil shale</w:t>
      </w:r>
      <w:r w:rsidR="007E53CA" w:rsidRPr="000E7704">
        <w:rPr>
          <w:rFonts w:ascii="Times New Roman" w:hAnsi="Times New Roman" w:cs="Times New Roman"/>
          <w:sz w:val="24"/>
          <w:szCs w:val="24"/>
        </w:rPr>
        <w:t xml:space="preserve"> (reflected light mode)</w:t>
      </w:r>
      <w:r w:rsidR="00F81C27" w:rsidRPr="000E7704">
        <w:rPr>
          <w:rFonts w:ascii="Times New Roman" w:hAnsi="Times New Roman" w:cs="Times New Roman"/>
          <w:sz w:val="24"/>
          <w:szCs w:val="24"/>
        </w:rPr>
        <w:t>.</w:t>
      </w:r>
    </w:p>
    <w:p w:rsidR="00F81C27" w:rsidRPr="005D4961" w:rsidRDefault="00F81C27" w:rsidP="00F81C27">
      <w:pPr>
        <w:spacing w:after="0"/>
        <w:jc w:val="both"/>
        <w:rPr>
          <w:rFonts w:ascii="Times New Roman" w:hAnsi="Times New Roman" w:cs="Times New Roman"/>
          <w:b/>
          <w:sz w:val="20"/>
          <w:szCs w:val="20"/>
        </w:rPr>
      </w:pPr>
    </w:p>
    <w:p w:rsidR="00F81C27" w:rsidRPr="005D4961" w:rsidRDefault="00F81C27" w:rsidP="00F81C27">
      <w:pPr>
        <w:spacing w:after="0"/>
        <w:jc w:val="both"/>
        <w:rPr>
          <w:rFonts w:ascii="Times New Roman" w:hAnsi="Times New Roman" w:cs="Times New Roman"/>
          <w:b/>
          <w:sz w:val="20"/>
          <w:szCs w:val="20"/>
        </w:rPr>
      </w:pPr>
    </w:p>
    <w:p w:rsidR="00F81C27" w:rsidRPr="000E7704" w:rsidRDefault="000E7704" w:rsidP="00F81C27">
      <w:pPr>
        <w:spacing w:after="0"/>
        <w:jc w:val="both"/>
        <w:rPr>
          <w:rFonts w:ascii="Times New Roman" w:hAnsi="Times New Roman" w:cs="Times New Roman"/>
          <w:b/>
          <w:sz w:val="24"/>
          <w:szCs w:val="24"/>
        </w:rPr>
      </w:pPr>
      <w:r>
        <w:rPr>
          <w:rFonts w:ascii="Times New Roman" w:hAnsi="Times New Roman" w:cs="Times New Roman"/>
          <w:b/>
          <w:sz w:val="24"/>
          <w:szCs w:val="24"/>
        </w:rPr>
        <w:t>RESULTS AND DISCUSSION</w:t>
      </w:r>
    </w:p>
    <w:p w:rsidR="00F81C27" w:rsidRPr="000E7704" w:rsidRDefault="00F81C27" w:rsidP="00F81C27">
      <w:pPr>
        <w:spacing w:after="0"/>
        <w:jc w:val="both"/>
        <w:rPr>
          <w:rFonts w:ascii="Times New Roman" w:hAnsi="Times New Roman" w:cs="Times New Roman"/>
          <w:b/>
          <w:sz w:val="24"/>
          <w:szCs w:val="24"/>
        </w:rPr>
      </w:pPr>
    </w:p>
    <w:p w:rsidR="00F81C27" w:rsidRPr="000E7704" w:rsidRDefault="00F81C27" w:rsidP="00F81C27">
      <w:pPr>
        <w:spacing w:after="0"/>
        <w:jc w:val="both"/>
        <w:rPr>
          <w:rFonts w:ascii="Times New Roman" w:hAnsi="Times New Roman" w:cs="Times New Roman"/>
          <w:b/>
          <w:sz w:val="24"/>
          <w:szCs w:val="24"/>
        </w:rPr>
      </w:pPr>
      <w:r w:rsidRPr="000E7704">
        <w:rPr>
          <w:rFonts w:ascii="Times New Roman" w:hAnsi="Times New Roman" w:cs="Times New Roman"/>
          <w:b/>
          <w:sz w:val="24"/>
          <w:szCs w:val="24"/>
        </w:rPr>
        <w:t>Organic Geochemical Analysis</w:t>
      </w:r>
    </w:p>
    <w:p w:rsidR="00F81C27" w:rsidRPr="000E7704"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hAnsi="Times New Roman" w:cs="Times New Roman"/>
          <w:spacing w:val="12"/>
          <w:sz w:val="24"/>
          <w:szCs w:val="24"/>
        </w:rPr>
        <w:t xml:space="preserve">The samples analyzed are gained from freshest outcrop and subcrop of shales and </w:t>
      </w:r>
      <w:r w:rsidRPr="000E7704">
        <w:rPr>
          <w:rFonts w:ascii="Times New Roman" w:hAnsi="Times New Roman" w:cs="Times New Roman"/>
          <w:spacing w:val="11"/>
          <w:sz w:val="24"/>
          <w:szCs w:val="24"/>
        </w:rPr>
        <w:t>mudstones. Rock-Ev</w:t>
      </w:r>
      <w:r w:rsidR="00331785" w:rsidRPr="000E7704">
        <w:rPr>
          <w:rFonts w:ascii="Times New Roman" w:hAnsi="Times New Roman" w:cs="Times New Roman"/>
          <w:spacing w:val="11"/>
          <w:sz w:val="24"/>
          <w:szCs w:val="24"/>
        </w:rPr>
        <w:t>al pyrolysis was performed on 18</w:t>
      </w:r>
      <w:r w:rsidRPr="000E7704">
        <w:rPr>
          <w:rFonts w:ascii="Times New Roman" w:hAnsi="Times New Roman" w:cs="Times New Roman"/>
          <w:spacing w:val="11"/>
          <w:sz w:val="24"/>
          <w:szCs w:val="24"/>
        </w:rPr>
        <w:t xml:space="preserve"> rock samples from relatively </w:t>
      </w:r>
      <w:r w:rsidRPr="000E7704">
        <w:rPr>
          <w:rFonts w:ascii="Times New Roman" w:hAnsi="Times New Roman" w:cs="Times New Roman"/>
          <w:sz w:val="24"/>
          <w:szCs w:val="24"/>
        </w:rPr>
        <w:t>selected representative layers of oil shales.</w:t>
      </w:r>
    </w:p>
    <w:p w:rsidR="00F81C27" w:rsidRPr="000E7704"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hAnsi="Times New Roman" w:cs="Times New Roman"/>
          <w:spacing w:val="5"/>
          <w:sz w:val="24"/>
          <w:szCs w:val="24"/>
        </w:rPr>
        <w:t xml:space="preserve">The TOC content of the selected samples of Sangkarewang Formation in </w:t>
      </w:r>
      <w:r w:rsidR="007E53CA" w:rsidRPr="000E7704">
        <w:rPr>
          <w:rFonts w:ascii="Times New Roman" w:hAnsi="Times New Roman" w:cs="Times New Roman"/>
          <w:spacing w:val="5"/>
          <w:sz w:val="24"/>
          <w:szCs w:val="24"/>
        </w:rPr>
        <w:t>Talawi</w:t>
      </w:r>
      <w:r w:rsidRPr="000E7704">
        <w:rPr>
          <w:rFonts w:ascii="Times New Roman" w:hAnsi="Times New Roman" w:cs="Times New Roman"/>
          <w:spacing w:val="5"/>
          <w:sz w:val="24"/>
          <w:szCs w:val="24"/>
        </w:rPr>
        <w:t xml:space="preserve"> and Lubuktaruk areas ranges from 1.10 to 8.12 % (Table 1) </w:t>
      </w:r>
      <w:r w:rsidRPr="000E7704">
        <w:rPr>
          <w:rFonts w:ascii="Times New Roman" w:hAnsi="Times New Roman" w:cs="Times New Roman"/>
          <w:spacing w:val="4"/>
          <w:sz w:val="24"/>
          <w:szCs w:val="24"/>
        </w:rPr>
        <w:t xml:space="preserve">with averaged 3.18 %. The highest TOC content occurs in spongy mudstone </w:t>
      </w:r>
      <w:r w:rsidRPr="000E7704">
        <w:rPr>
          <w:rFonts w:ascii="Times New Roman" w:hAnsi="Times New Roman" w:cs="Times New Roman"/>
          <w:sz w:val="24"/>
          <w:szCs w:val="24"/>
        </w:rPr>
        <w:t>(8.12 %) located in Lubuktaruk</w:t>
      </w:r>
      <w:r w:rsidR="007E53CA" w:rsidRPr="000E7704">
        <w:rPr>
          <w:rFonts w:ascii="Times New Roman" w:hAnsi="Times New Roman" w:cs="Times New Roman"/>
          <w:sz w:val="24"/>
          <w:szCs w:val="24"/>
        </w:rPr>
        <w:t xml:space="preserve"> (NS 12B)</w:t>
      </w:r>
      <w:r w:rsidRPr="000E7704">
        <w:rPr>
          <w:rFonts w:ascii="Times New Roman" w:hAnsi="Times New Roman" w:cs="Times New Roman"/>
          <w:sz w:val="24"/>
          <w:szCs w:val="24"/>
        </w:rPr>
        <w:t xml:space="preserve">, followed by flaky </w:t>
      </w:r>
      <w:r w:rsidRPr="000E7704">
        <w:rPr>
          <w:rFonts w:ascii="Times New Roman" w:hAnsi="Times New Roman" w:cs="Times New Roman"/>
          <w:spacing w:val="9"/>
          <w:sz w:val="24"/>
          <w:szCs w:val="24"/>
        </w:rPr>
        <w:t xml:space="preserve">mudstone of NS.11C (4.73 %) occurring in Sipang River. On the other </w:t>
      </w:r>
      <w:r w:rsidRPr="000E7704">
        <w:rPr>
          <w:rFonts w:ascii="Times New Roman" w:hAnsi="Times New Roman" w:cs="Times New Roman"/>
          <w:sz w:val="24"/>
          <w:szCs w:val="24"/>
        </w:rPr>
        <w:t>hand, the lowest TOC content (1.10 %) occurs on shaly mudstone of  HR.0 I E situated in Setangkai area.</w:t>
      </w:r>
    </w:p>
    <w:p w:rsidR="00F81C27" w:rsidRPr="000E7704"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hAnsi="Times New Roman" w:cs="Times New Roman"/>
          <w:spacing w:val="11"/>
          <w:sz w:val="24"/>
          <w:szCs w:val="24"/>
        </w:rPr>
        <w:t xml:space="preserve">The recent analyses indicate that, based on Rad classification (1984), the </w:t>
      </w:r>
      <w:r w:rsidRPr="000E7704">
        <w:rPr>
          <w:rFonts w:ascii="Times New Roman" w:hAnsi="Times New Roman" w:cs="Times New Roman"/>
          <w:spacing w:val="4"/>
          <w:sz w:val="24"/>
          <w:szCs w:val="24"/>
        </w:rPr>
        <w:t xml:space="preserve">Sangkarewang shales and mudstones </w:t>
      </w:r>
      <w:r w:rsidR="00345F69" w:rsidRPr="000E7704">
        <w:rPr>
          <w:rFonts w:ascii="Times New Roman" w:hAnsi="Times New Roman" w:cs="Times New Roman"/>
          <w:spacing w:val="4"/>
          <w:sz w:val="24"/>
          <w:szCs w:val="24"/>
        </w:rPr>
        <w:t xml:space="preserve">of Talawi (NS.08A, 10A, </w:t>
      </w:r>
      <w:r w:rsidRPr="000E7704">
        <w:rPr>
          <w:rFonts w:ascii="Times New Roman" w:hAnsi="Times New Roman" w:cs="Times New Roman"/>
          <w:spacing w:val="4"/>
          <w:sz w:val="24"/>
          <w:szCs w:val="24"/>
        </w:rPr>
        <w:t>11C</w:t>
      </w:r>
      <w:r w:rsidR="00345F69" w:rsidRPr="000E7704">
        <w:rPr>
          <w:rFonts w:ascii="Times New Roman" w:hAnsi="Times New Roman" w:cs="Times New Roman"/>
          <w:spacing w:val="4"/>
          <w:sz w:val="24"/>
          <w:szCs w:val="24"/>
        </w:rPr>
        <w:t xml:space="preserve">, and </w:t>
      </w:r>
      <w:r w:rsidR="00345F69" w:rsidRPr="000E7704">
        <w:rPr>
          <w:rFonts w:ascii="Times New Roman" w:hAnsi="Times New Roman" w:cs="Times New Roman"/>
          <w:spacing w:val="12"/>
          <w:sz w:val="24"/>
          <w:szCs w:val="24"/>
        </w:rPr>
        <w:t>ES.07A</w:t>
      </w:r>
      <w:r w:rsidR="00345F69" w:rsidRPr="000E7704">
        <w:rPr>
          <w:rFonts w:ascii="Times New Roman" w:hAnsi="Times New Roman" w:cs="Times New Roman"/>
          <w:spacing w:val="4"/>
          <w:sz w:val="24"/>
          <w:szCs w:val="24"/>
        </w:rPr>
        <w:t xml:space="preserve">)and </w:t>
      </w:r>
      <w:r w:rsidRPr="000E7704">
        <w:rPr>
          <w:rFonts w:ascii="Times New Roman" w:hAnsi="Times New Roman" w:cs="Times New Roman"/>
          <w:spacing w:val="4"/>
          <w:sz w:val="24"/>
          <w:szCs w:val="24"/>
        </w:rPr>
        <w:t xml:space="preserve">Lubuktaruk </w:t>
      </w:r>
      <w:r w:rsidRPr="000E7704">
        <w:rPr>
          <w:rFonts w:ascii="Times New Roman" w:hAnsi="Times New Roman" w:cs="Times New Roman"/>
          <w:spacing w:val="12"/>
          <w:sz w:val="24"/>
          <w:szCs w:val="24"/>
        </w:rPr>
        <w:t>(NS.12B)</w:t>
      </w:r>
      <w:r w:rsidR="00345F69" w:rsidRPr="000E7704">
        <w:rPr>
          <w:rFonts w:ascii="Times New Roman" w:hAnsi="Times New Roman" w:cs="Times New Roman"/>
          <w:spacing w:val="12"/>
          <w:sz w:val="24"/>
          <w:szCs w:val="24"/>
        </w:rPr>
        <w:t xml:space="preserve"> areas</w:t>
      </w:r>
      <w:r w:rsidRPr="000E7704">
        <w:rPr>
          <w:rFonts w:ascii="Times New Roman" w:hAnsi="Times New Roman" w:cs="Times New Roman"/>
          <w:spacing w:val="12"/>
          <w:sz w:val="24"/>
          <w:szCs w:val="24"/>
        </w:rPr>
        <w:t xml:space="preserve"> have </w:t>
      </w:r>
      <w:r w:rsidRPr="000E7704">
        <w:rPr>
          <w:rFonts w:ascii="Times New Roman" w:hAnsi="Times New Roman" w:cs="Times New Roman"/>
          <w:spacing w:val="5"/>
          <w:sz w:val="24"/>
          <w:szCs w:val="24"/>
        </w:rPr>
        <w:t xml:space="preserve">excellent hydrocarbon potential (Figure </w:t>
      </w:r>
      <w:r w:rsidR="007E53CA" w:rsidRPr="000E7704">
        <w:rPr>
          <w:rFonts w:ascii="Times New Roman" w:hAnsi="Times New Roman" w:cs="Times New Roman"/>
          <w:spacing w:val="5"/>
          <w:sz w:val="24"/>
          <w:szCs w:val="24"/>
        </w:rPr>
        <w:t>4</w:t>
      </w:r>
      <w:r w:rsidRPr="000E7704">
        <w:rPr>
          <w:rFonts w:ascii="Times New Roman" w:hAnsi="Times New Roman" w:cs="Times New Roman"/>
          <w:spacing w:val="5"/>
          <w:sz w:val="24"/>
          <w:szCs w:val="24"/>
        </w:rPr>
        <w:t xml:space="preserve">) with TOC values varies from 4.05 % to 8.12 </w:t>
      </w:r>
      <w:r w:rsidRPr="000E7704">
        <w:rPr>
          <w:rFonts w:ascii="Times New Roman" w:hAnsi="Times New Roman" w:cs="Times New Roman"/>
          <w:spacing w:val="7"/>
          <w:sz w:val="24"/>
          <w:szCs w:val="24"/>
        </w:rPr>
        <w:t xml:space="preserve">% (mainly more than 4.0 %), pyrolysis yields (PY) between 26.62 and 67.72 mg HC/g </w:t>
      </w:r>
      <w:r w:rsidRPr="000E7704">
        <w:rPr>
          <w:rFonts w:ascii="Times New Roman" w:hAnsi="Times New Roman" w:cs="Times New Roman"/>
          <w:spacing w:val="9"/>
          <w:sz w:val="24"/>
          <w:szCs w:val="24"/>
        </w:rPr>
        <w:t>rock (mainly more than 20.0 mg HC/g rock), T</w:t>
      </w:r>
      <w:r w:rsidRPr="000E7704">
        <w:rPr>
          <w:rFonts w:ascii="Times New Roman" w:hAnsi="Times New Roman" w:cs="Times New Roman"/>
          <w:spacing w:val="9"/>
          <w:sz w:val="24"/>
          <w:szCs w:val="24"/>
          <w:vertAlign w:val="subscript"/>
        </w:rPr>
        <w:t>max</w:t>
      </w:r>
      <w:r w:rsidRPr="000E7704">
        <w:rPr>
          <w:rFonts w:ascii="Times New Roman" w:hAnsi="Times New Roman" w:cs="Times New Roman"/>
          <w:spacing w:val="9"/>
          <w:sz w:val="24"/>
          <w:szCs w:val="24"/>
        </w:rPr>
        <w:t xml:space="preserve"> of 440° - 447° C, and hydrogen </w:t>
      </w:r>
      <w:r w:rsidRPr="000E7704">
        <w:rPr>
          <w:rFonts w:ascii="Times New Roman" w:hAnsi="Times New Roman" w:cs="Times New Roman"/>
          <w:spacing w:val="6"/>
          <w:sz w:val="24"/>
          <w:szCs w:val="24"/>
        </w:rPr>
        <w:t xml:space="preserve">indices (HI) in 595 - 829 range. </w:t>
      </w:r>
      <w:r w:rsidRPr="000E7704">
        <w:rPr>
          <w:rFonts w:ascii="Times New Roman" w:hAnsi="Times New Roman" w:cs="Times New Roman"/>
          <w:sz w:val="24"/>
          <w:szCs w:val="24"/>
        </w:rPr>
        <w:t xml:space="preserve">The oil shales can be categorised as oil-prone source-rock (Figure </w:t>
      </w:r>
      <w:r w:rsidR="00345F69" w:rsidRPr="000E7704">
        <w:rPr>
          <w:rFonts w:ascii="Times New Roman" w:hAnsi="Times New Roman" w:cs="Times New Roman"/>
          <w:sz w:val="24"/>
          <w:szCs w:val="24"/>
        </w:rPr>
        <w:t>4</w:t>
      </w:r>
      <w:r w:rsidRPr="000E7704">
        <w:rPr>
          <w:rFonts w:ascii="Times New Roman" w:hAnsi="Times New Roman" w:cs="Times New Roman"/>
          <w:sz w:val="24"/>
          <w:szCs w:val="24"/>
        </w:rPr>
        <w:t>)</w:t>
      </w:r>
      <w:r w:rsidR="00345F69" w:rsidRPr="000E7704">
        <w:rPr>
          <w:rFonts w:ascii="Times New Roman" w:hAnsi="Times New Roman" w:cs="Times New Roman"/>
          <w:sz w:val="24"/>
          <w:szCs w:val="24"/>
        </w:rPr>
        <w:t xml:space="preserve">, while the </w:t>
      </w:r>
      <w:r w:rsidR="00345F69" w:rsidRPr="000E7704">
        <w:rPr>
          <w:rFonts w:ascii="Times New Roman" w:hAnsi="Times New Roman" w:cs="Times New Roman"/>
          <w:spacing w:val="6"/>
          <w:sz w:val="24"/>
          <w:szCs w:val="24"/>
        </w:rPr>
        <w:t>kerogen is mainly included into Type I (Figure 5).</w:t>
      </w:r>
    </w:p>
    <w:p w:rsidR="00F81C27" w:rsidRPr="000E7704"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hAnsi="Times New Roman" w:cs="Times New Roman"/>
          <w:spacing w:val="8"/>
          <w:sz w:val="24"/>
          <w:szCs w:val="24"/>
        </w:rPr>
        <w:t xml:space="preserve">The good potential category is characterized by TOC value between 1.0 - 2.0 %, and </w:t>
      </w:r>
      <w:r w:rsidRPr="000E7704">
        <w:rPr>
          <w:rFonts w:ascii="Times New Roman" w:hAnsi="Times New Roman" w:cs="Times New Roman"/>
          <w:spacing w:val="9"/>
          <w:sz w:val="24"/>
          <w:szCs w:val="24"/>
        </w:rPr>
        <w:t xml:space="preserve">pyrolysis yields (PY) varying from 6 - 20 mg HC/g rock. This category </w:t>
      </w:r>
      <w:r w:rsidR="00331785" w:rsidRPr="000E7704">
        <w:rPr>
          <w:rFonts w:ascii="Times New Roman" w:hAnsi="Times New Roman" w:cs="Times New Roman"/>
          <w:spacing w:val="9"/>
          <w:sz w:val="24"/>
          <w:szCs w:val="24"/>
        </w:rPr>
        <w:t xml:space="preserve">is </w:t>
      </w:r>
      <w:r w:rsidRPr="000E7704">
        <w:rPr>
          <w:rFonts w:ascii="Times New Roman" w:hAnsi="Times New Roman" w:cs="Times New Roman"/>
          <w:spacing w:val="9"/>
          <w:sz w:val="24"/>
          <w:szCs w:val="24"/>
        </w:rPr>
        <w:t xml:space="preserve">represented by </w:t>
      </w:r>
      <w:r w:rsidR="00331785" w:rsidRPr="000E7704">
        <w:rPr>
          <w:rFonts w:ascii="Times New Roman" w:hAnsi="Times New Roman" w:cs="Times New Roman"/>
          <w:spacing w:val="9"/>
          <w:sz w:val="24"/>
          <w:szCs w:val="24"/>
        </w:rPr>
        <w:t xml:space="preserve">siltstone </w:t>
      </w:r>
      <w:r w:rsidRPr="000E7704">
        <w:rPr>
          <w:rFonts w:ascii="Times New Roman" w:hAnsi="Times New Roman" w:cs="Times New Roman"/>
          <w:spacing w:val="9"/>
          <w:sz w:val="24"/>
          <w:szCs w:val="24"/>
        </w:rPr>
        <w:t>sample SB.08</w:t>
      </w:r>
      <w:r w:rsidR="00345F69" w:rsidRPr="000E7704">
        <w:rPr>
          <w:rFonts w:ascii="Times New Roman" w:hAnsi="Times New Roman" w:cs="Times New Roman"/>
          <w:spacing w:val="9"/>
          <w:sz w:val="24"/>
          <w:szCs w:val="24"/>
        </w:rPr>
        <w:t>B</w:t>
      </w:r>
      <w:r w:rsidRPr="000E7704">
        <w:rPr>
          <w:rFonts w:ascii="Times New Roman" w:hAnsi="Times New Roman" w:cs="Times New Roman"/>
          <w:spacing w:val="9"/>
          <w:sz w:val="24"/>
          <w:szCs w:val="24"/>
        </w:rPr>
        <w:t xml:space="preserve"> (TOC of 2.45 %, P</w:t>
      </w:r>
      <w:r w:rsidR="00345F69" w:rsidRPr="000E7704">
        <w:rPr>
          <w:rFonts w:ascii="Times New Roman" w:hAnsi="Times New Roman" w:cs="Times New Roman"/>
          <w:spacing w:val="9"/>
          <w:sz w:val="24"/>
          <w:szCs w:val="24"/>
        </w:rPr>
        <w:t>Y</w:t>
      </w:r>
      <w:r w:rsidRPr="000E7704">
        <w:rPr>
          <w:rFonts w:ascii="Times New Roman" w:hAnsi="Times New Roman" w:cs="Times New Roman"/>
          <w:spacing w:val="9"/>
          <w:sz w:val="24"/>
          <w:szCs w:val="24"/>
        </w:rPr>
        <w:t xml:space="preserve"> of 16.69 mg HC/g rock)</w:t>
      </w:r>
      <w:r w:rsidRPr="000E7704">
        <w:rPr>
          <w:rFonts w:ascii="Times New Roman" w:hAnsi="Times New Roman" w:cs="Times New Roman"/>
          <w:spacing w:val="5"/>
          <w:sz w:val="24"/>
          <w:szCs w:val="24"/>
        </w:rPr>
        <w:t xml:space="preserve">, mudstone of  NS.19A (TOC values </w:t>
      </w:r>
      <w:r w:rsidRPr="000E7704">
        <w:rPr>
          <w:rFonts w:ascii="Times New Roman" w:hAnsi="Times New Roman" w:cs="Times New Roman"/>
          <w:sz w:val="24"/>
          <w:szCs w:val="24"/>
        </w:rPr>
        <w:t>2.23 %, PY of 15.97 mg HC/g rock), DS.</w:t>
      </w:r>
      <w:r w:rsidR="00345F69" w:rsidRPr="000E7704">
        <w:rPr>
          <w:rFonts w:ascii="Times New Roman" w:hAnsi="Times New Roman" w:cs="Times New Roman"/>
          <w:sz w:val="24"/>
          <w:szCs w:val="24"/>
        </w:rPr>
        <w:t>07</w:t>
      </w:r>
      <w:r w:rsidRPr="000E7704">
        <w:rPr>
          <w:rFonts w:ascii="Times New Roman" w:hAnsi="Times New Roman" w:cs="Times New Roman"/>
          <w:sz w:val="24"/>
          <w:szCs w:val="24"/>
        </w:rPr>
        <w:t xml:space="preserve">A (TOC of 2.03 % and PY 6.85 </w:t>
      </w:r>
      <w:r w:rsidR="00331785" w:rsidRPr="000E7704">
        <w:rPr>
          <w:rFonts w:ascii="Times New Roman" w:hAnsi="Times New Roman" w:cs="Times New Roman"/>
          <w:spacing w:val="4"/>
          <w:sz w:val="24"/>
          <w:szCs w:val="24"/>
        </w:rPr>
        <w:t>mg HC/g rock)</w:t>
      </w:r>
      <w:r w:rsidRPr="000E7704">
        <w:rPr>
          <w:rFonts w:ascii="Times New Roman" w:hAnsi="Times New Roman" w:cs="Times New Roman"/>
          <w:spacing w:val="4"/>
          <w:sz w:val="24"/>
          <w:szCs w:val="24"/>
        </w:rPr>
        <w:t xml:space="preserve"> and mudstone of NS.07A (TOC value 1.61 %, PY of </w:t>
      </w:r>
      <w:r w:rsidRPr="000E7704">
        <w:rPr>
          <w:rFonts w:ascii="Times New Roman" w:hAnsi="Times New Roman" w:cs="Times New Roman"/>
          <w:spacing w:val="5"/>
          <w:sz w:val="24"/>
          <w:szCs w:val="24"/>
        </w:rPr>
        <w:t>7.91 mg HC/g rock)</w:t>
      </w:r>
      <w:r w:rsidR="00331785" w:rsidRPr="000E7704">
        <w:rPr>
          <w:rFonts w:ascii="Times New Roman" w:hAnsi="Times New Roman" w:cs="Times New Roman"/>
          <w:spacing w:val="5"/>
          <w:sz w:val="24"/>
          <w:szCs w:val="24"/>
        </w:rPr>
        <w:t xml:space="preserve">, having </w:t>
      </w:r>
      <w:r w:rsidRPr="000E7704">
        <w:rPr>
          <w:rFonts w:ascii="Times New Roman" w:hAnsi="Times New Roman" w:cs="Times New Roman"/>
          <w:spacing w:val="5"/>
          <w:sz w:val="24"/>
          <w:szCs w:val="24"/>
        </w:rPr>
        <w:t>T</w:t>
      </w:r>
      <w:r w:rsidRPr="000E7704">
        <w:rPr>
          <w:rFonts w:ascii="Times New Roman" w:hAnsi="Times New Roman" w:cs="Times New Roman"/>
          <w:spacing w:val="5"/>
          <w:sz w:val="24"/>
          <w:szCs w:val="24"/>
          <w:vertAlign w:val="subscript"/>
        </w:rPr>
        <w:t>max</w:t>
      </w:r>
      <w:r w:rsidRPr="000E7704">
        <w:rPr>
          <w:rFonts w:ascii="Times New Roman" w:hAnsi="Times New Roman" w:cs="Times New Roman"/>
          <w:spacing w:val="5"/>
          <w:sz w:val="24"/>
          <w:szCs w:val="24"/>
        </w:rPr>
        <w:t xml:space="preserve"> from 438° to 441°C, and HI (hydrogen indices) </w:t>
      </w:r>
      <w:r w:rsidRPr="000E7704">
        <w:rPr>
          <w:rFonts w:ascii="Times New Roman" w:hAnsi="Times New Roman" w:cs="Times New Roman"/>
          <w:spacing w:val="5"/>
          <w:sz w:val="24"/>
          <w:szCs w:val="24"/>
        </w:rPr>
        <w:lastRenderedPageBreak/>
        <w:t>between 335</w:t>
      </w:r>
      <w:r w:rsidR="00345F69" w:rsidRPr="000E7704">
        <w:rPr>
          <w:rFonts w:ascii="Times New Roman" w:hAnsi="Times New Roman" w:cs="Times New Roman"/>
          <w:spacing w:val="5"/>
          <w:sz w:val="24"/>
          <w:szCs w:val="24"/>
        </w:rPr>
        <w:t xml:space="preserve"> - 707 range. Therefore, those</w:t>
      </w:r>
      <w:r w:rsidRPr="000E7704">
        <w:rPr>
          <w:rFonts w:ascii="Times New Roman" w:hAnsi="Times New Roman" w:cs="Times New Roman"/>
          <w:spacing w:val="5"/>
          <w:sz w:val="24"/>
          <w:szCs w:val="24"/>
        </w:rPr>
        <w:t xml:space="preserve"> oil shales are </w:t>
      </w:r>
      <w:r w:rsidR="00345F69" w:rsidRPr="000E7704">
        <w:rPr>
          <w:rFonts w:ascii="Times New Roman" w:hAnsi="Times New Roman" w:cs="Times New Roman"/>
          <w:spacing w:val="5"/>
          <w:sz w:val="24"/>
          <w:szCs w:val="24"/>
        </w:rPr>
        <w:t xml:space="preserve">situated in </w:t>
      </w:r>
      <w:r w:rsidRPr="000E7704">
        <w:rPr>
          <w:rFonts w:ascii="Times New Roman" w:hAnsi="Times New Roman" w:cs="Times New Roman"/>
          <w:spacing w:val="5"/>
          <w:sz w:val="24"/>
          <w:szCs w:val="24"/>
        </w:rPr>
        <w:t xml:space="preserve">oil-prone level (Figure </w:t>
      </w:r>
      <w:r w:rsidR="00331785" w:rsidRPr="000E7704">
        <w:rPr>
          <w:rFonts w:ascii="Times New Roman" w:hAnsi="Times New Roman" w:cs="Times New Roman"/>
          <w:spacing w:val="5"/>
          <w:sz w:val="24"/>
          <w:szCs w:val="24"/>
        </w:rPr>
        <w:t>4</w:t>
      </w:r>
      <w:r w:rsidRPr="000E7704">
        <w:rPr>
          <w:rFonts w:ascii="Times New Roman" w:hAnsi="Times New Roman" w:cs="Times New Roman"/>
          <w:spacing w:val="5"/>
          <w:sz w:val="24"/>
          <w:szCs w:val="24"/>
        </w:rPr>
        <w:t xml:space="preserve">), </w:t>
      </w:r>
      <w:r w:rsidRPr="000E7704">
        <w:rPr>
          <w:rFonts w:ascii="Times New Roman" w:hAnsi="Times New Roman" w:cs="Times New Roman"/>
          <w:sz w:val="24"/>
          <w:szCs w:val="24"/>
        </w:rPr>
        <w:t xml:space="preserve">and their kerogen is included into Types I and II (Figure </w:t>
      </w:r>
      <w:r w:rsidR="00345F69" w:rsidRPr="000E7704">
        <w:rPr>
          <w:rFonts w:ascii="Times New Roman" w:hAnsi="Times New Roman" w:cs="Times New Roman"/>
          <w:sz w:val="24"/>
          <w:szCs w:val="24"/>
        </w:rPr>
        <w:t>5</w:t>
      </w:r>
      <w:r w:rsidRPr="000E7704">
        <w:rPr>
          <w:rFonts w:ascii="Times New Roman" w:hAnsi="Times New Roman" w:cs="Times New Roman"/>
          <w:sz w:val="24"/>
          <w:szCs w:val="24"/>
        </w:rPr>
        <w:t>). Moreover, their PI dominated by 0.01 values, tend</w:t>
      </w:r>
      <w:r w:rsidR="00331785" w:rsidRPr="000E7704">
        <w:rPr>
          <w:rFonts w:ascii="Times New Roman" w:hAnsi="Times New Roman" w:cs="Times New Roman"/>
          <w:sz w:val="24"/>
          <w:szCs w:val="24"/>
        </w:rPr>
        <w:t>s</w:t>
      </w:r>
      <w:r w:rsidRPr="000E7704">
        <w:rPr>
          <w:rFonts w:ascii="Times New Roman" w:hAnsi="Times New Roman" w:cs="Times New Roman"/>
          <w:sz w:val="24"/>
          <w:szCs w:val="24"/>
        </w:rPr>
        <w:t xml:space="preserve"> to indicate a thermally immature level. However, on the basis of T</w:t>
      </w:r>
      <w:r w:rsidRPr="000E7704">
        <w:rPr>
          <w:rFonts w:ascii="Times New Roman" w:hAnsi="Times New Roman" w:cs="Times New Roman"/>
          <w:sz w:val="24"/>
          <w:szCs w:val="24"/>
          <w:vertAlign w:val="subscript"/>
        </w:rPr>
        <w:t>max</w:t>
      </w:r>
      <w:r w:rsidRPr="000E7704">
        <w:rPr>
          <w:rFonts w:ascii="Times New Roman" w:hAnsi="Times New Roman" w:cs="Times New Roman"/>
          <w:sz w:val="24"/>
          <w:szCs w:val="24"/>
        </w:rPr>
        <w:t xml:space="preserve"> and other PI values, the samples tend to indicate an early mature stage.</w:t>
      </w:r>
    </w:p>
    <w:p w:rsidR="00F81C27" w:rsidRDefault="00F81C27" w:rsidP="00F81C27">
      <w:pPr>
        <w:widowControl w:val="0"/>
        <w:autoSpaceDE w:val="0"/>
        <w:autoSpaceDN w:val="0"/>
        <w:spacing w:after="0"/>
        <w:ind w:firstLine="567"/>
        <w:jc w:val="both"/>
        <w:rPr>
          <w:rFonts w:ascii="Times New Roman" w:hAnsi="Times New Roman" w:cs="Times New Roman"/>
          <w:sz w:val="24"/>
          <w:szCs w:val="24"/>
        </w:rPr>
      </w:pPr>
      <w:r w:rsidRPr="000E7704">
        <w:rPr>
          <w:rFonts w:ascii="Times New Roman" w:hAnsi="Times New Roman" w:cs="Times New Roman"/>
          <w:sz w:val="24"/>
          <w:szCs w:val="24"/>
        </w:rPr>
        <w:t xml:space="preserve">The rest comprising </w:t>
      </w:r>
      <w:r w:rsidR="00345F69" w:rsidRPr="000E7704">
        <w:rPr>
          <w:rFonts w:ascii="Times New Roman" w:hAnsi="Times New Roman" w:cs="Times New Roman"/>
          <w:sz w:val="24"/>
          <w:szCs w:val="24"/>
        </w:rPr>
        <w:t>four</w:t>
      </w:r>
      <w:r w:rsidRPr="000E7704">
        <w:rPr>
          <w:rFonts w:ascii="Times New Roman" w:hAnsi="Times New Roman" w:cs="Times New Roman"/>
          <w:sz w:val="24"/>
          <w:szCs w:val="24"/>
        </w:rPr>
        <w:t xml:space="preserve"> samples is included into fair potential level (Figure </w:t>
      </w:r>
      <w:r w:rsidR="00331785" w:rsidRPr="000E7704">
        <w:rPr>
          <w:rFonts w:ascii="Times New Roman" w:hAnsi="Times New Roman" w:cs="Times New Roman"/>
          <w:sz w:val="24"/>
          <w:szCs w:val="24"/>
        </w:rPr>
        <w:t>4). Two</w:t>
      </w:r>
      <w:r w:rsidRPr="000E7704">
        <w:rPr>
          <w:rFonts w:ascii="Times New Roman" w:hAnsi="Times New Roman" w:cs="Times New Roman"/>
          <w:sz w:val="24"/>
          <w:szCs w:val="24"/>
        </w:rPr>
        <w:t xml:space="preserve"> samples </w:t>
      </w:r>
      <w:r w:rsidRPr="000E7704">
        <w:rPr>
          <w:rFonts w:ascii="Times New Roman" w:hAnsi="Times New Roman" w:cs="Times New Roman"/>
          <w:spacing w:val="2"/>
          <w:sz w:val="24"/>
          <w:szCs w:val="24"/>
        </w:rPr>
        <w:t xml:space="preserve">show TOC content of 1.10 %, and PY of 2.31 mg HC/g rock (HR.01E), and TOC of 1.63 % </w:t>
      </w:r>
      <w:r w:rsidRPr="000E7704">
        <w:rPr>
          <w:rFonts w:ascii="Times New Roman" w:hAnsi="Times New Roman" w:cs="Times New Roman"/>
          <w:spacing w:val="-3"/>
          <w:sz w:val="24"/>
          <w:szCs w:val="24"/>
        </w:rPr>
        <w:t xml:space="preserve">and PY 3.51 mg HC/g rock (NS. 01 B) both occur in </w:t>
      </w:r>
      <w:r w:rsidR="00331785" w:rsidRPr="000E7704">
        <w:rPr>
          <w:rFonts w:ascii="Times New Roman" w:hAnsi="Times New Roman" w:cs="Times New Roman"/>
          <w:spacing w:val="-3"/>
          <w:sz w:val="24"/>
          <w:szCs w:val="24"/>
        </w:rPr>
        <w:t xml:space="preserve">Talawi area. Two others </w:t>
      </w:r>
      <w:r w:rsidRPr="000E7704">
        <w:rPr>
          <w:rFonts w:ascii="Times New Roman" w:hAnsi="Times New Roman" w:cs="Times New Roman"/>
          <w:spacing w:val="-3"/>
          <w:sz w:val="24"/>
          <w:szCs w:val="24"/>
        </w:rPr>
        <w:t xml:space="preserve">with  NS. 12A (TOC of </w:t>
      </w:r>
      <w:r w:rsidRPr="000E7704">
        <w:rPr>
          <w:rFonts w:ascii="Times New Roman" w:hAnsi="Times New Roman" w:cs="Times New Roman"/>
          <w:sz w:val="24"/>
          <w:szCs w:val="24"/>
        </w:rPr>
        <w:t>1.22 %, and PY 2.67 mg HC/g rock) and NS.12E</w:t>
      </w:r>
      <w:r w:rsidRPr="000E7704">
        <w:rPr>
          <w:rFonts w:ascii="Times New Roman" w:hAnsi="Times New Roman" w:cs="Times New Roman"/>
          <w:sz w:val="24"/>
          <w:szCs w:val="24"/>
          <w:vertAlign w:val="subscript"/>
        </w:rPr>
        <w:t>10</w:t>
      </w:r>
      <w:r w:rsidRPr="000E7704">
        <w:rPr>
          <w:rFonts w:ascii="Times New Roman" w:hAnsi="Times New Roman" w:cs="Times New Roman"/>
          <w:sz w:val="24"/>
          <w:szCs w:val="24"/>
        </w:rPr>
        <w:t xml:space="preserve"> (TOC 1.34 %; PY 3.56 mg HC/g rock) </w:t>
      </w:r>
      <w:r w:rsidR="00331785" w:rsidRPr="000E7704">
        <w:rPr>
          <w:rFonts w:ascii="Times New Roman" w:hAnsi="Times New Roman" w:cs="Times New Roman"/>
          <w:sz w:val="24"/>
          <w:szCs w:val="24"/>
        </w:rPr>
        <w:t xml:space="preserve">were </w:t>
      </w:r>
      <w:r w:rsidRPr="000E7704">
        <w:rPr>
          <w:rFonts w:ascii="Times New Roman" w:hAnsi="Times New Roman" w:cs="Times New Roman"/>
          <w:sz w:val="24"/>
          <w:szCs w:val="24"/>
        </w:rPr>
        <w:t>collected from Lubuktaruk (Bt. Porogadang). T</w:t>
      </w:r>
      <w:r w:rsidRPr="000E7704">
        <w:rPr>
          <w:rFonts w:ascii="Times New Roman" w:hAnsi="Times New Roman" w:cs="Times New Roman"/>
          <w:sz w:val="24"/>
          <w:szCs w:val="24"/>
          <w:vertAlign w:val="subscript"/>
        </w:rPr>
        <w:t>max</w:t>
      </w:r>
      <w:r w:rsidRPr="000E7704">
        <w:rPr>
          <w:rFonts w:ascii="Times New Roman" w:hAnsi="Times New Roman" w:cs="Times New Roman"/>
          <w:sz w:val="24"/>
          <w:szCs w:val="24"/>
        </w:rPr>
        <w:t xml:space="preserve"> of the four-samples ranges from </w:t>
      </w:r>
      <w:r w:rsidRPr="000E7704">
        <w:rPr>
          <w:rFonts w:ascii="Times New Roman" w:hAnsi="Times New Roman" w:cs="Times New Roman"/>
          <w:spacing w:val="4"/>
          <w:sz w:val="24"/>
          <w:szCs w:val="24"/>
        </w:rPr>
        <w:t xml:space="preserve">443° to 453°C. Moreover, their hydrogen indices (HI) are </w:t>
      </w:r>
      <w:r w:rsidR="00331785" w:rsidRPr="000E7704">
        <w:rPr>
          <w:rFonts w:ascii="Times New Roman" w:hAnsi="Times New Roman" w:cs="Times New Roman"/>
          <w:spacing w:val="4"/>
          <w:sz w:val="24"/>
          <w:szCs w:val="24"/>
        </w:rPr>
        <w:t xml:space="preserve">in </w:t>
      </w:r>
      <w:r w:rsidRPr="000E7704">
        <w:rPr>
          <w:rFonts w:ascii="Times New Roman" w:hAnsi="Times New Roman" w:cs="Times New Roman"/>
          <w:spacing w:val="4"/>
          <w:sz w:val="24"/>
          <w:szCs w:val="24"/>
        </w:rPr>
        <w:t xml:space="preserve">198 - 249 range. The samples </w:t>
      </w:r>
      <w:r w:rsidRPr="000E7704">
        <w:rPr>
          <w:rFonts w:ascii="Times New Roman" w:hAnsi="Times New Roman" w:cs="Times New Roman"/>
          <w:spacing w:val="11"/>
          <w:sz w:val="24"/>
          <w:szCs w:val="24"/>
        </w:rPr>
        <w:t xml:space="preserve">mainly belong to an oil-prone area (Figure </w:t>
      </w:r>
      <w:r w:rsidR="00331785" w:rsidRPr="000E7704">
        <w:rPr>
          <w:rFonts w:ascii="Times New Roman" w:hAnsi="Times New Roman" w:cs="Times New Roman"/>
          <w:spacing w:val="11"/>
          <w:sz w:val="24"/>
          <w:szCs w:val="24"/>
        </w:rPr>
        <w:t>4</w:t>
      </w:r>
      <w:r w:rsidRPr="000E7704">
        <w:rPr>
          <w:rFonts w:ascii="Times New Roman" w:hAnsi="Times New Roman" w:cs="Times New Roman"/>
          <w:spacing w:val="11"/>
          <w:sz w:val="24"/>
          <w:szCs w:val="24"/>
        </w:rPr>
        <w:t xml:space="preserve">), and their kerogen belong to Type II </w:t>
      </w:r>
      <w:r w:rsidRPr="000E7704">
        <w:rPr>
          <w:rFonts w:ascii="Times New Roman" w:hAnsi="Times New Roman" w:cs="Times New Roman"/>
          <w:sz w:val="24"/>
          <w:szCs w:val="24"/>
        </w:rPr>
        <w:t xml:space="preserve">(Figure </w:t>
      </w:r>
      <w:r w:rsidR="00331785" w:rsidRPr="000E7704">
        <w:rPr>
          <w:rFonts w:ascii="Times New Roman" w:hAnsi="Times New Roman" w:cs="Times New Roman"/>
          <w:sz w:val="24"/>
          <w:szCs w:val="24"/>
        </w:rPr>
        <w:t>5</w:t>
      </w:r>
      <w:r w:rsidRPr="000E7704">
        <w:rPr>
          <w:rFonts w:ascii="Times New Roman" w:hAnsi="Times New Roman" w:cs="Times New Roman"/>
          <w:sz w:val="24"/>
          <w:szCs w:val="24"/>
        </w:rPr>
        <w:t>).</w:t>
      </w:r>
    </w:p>
    <w:p w:rsidR="00BC4597" w:rsidRPr="000E7704" w:rsidRDefault="00BC4597" w:rsidP="00F81C27">
      <w:pPr>
        <w:widowControl w:val="0"/>
        <w:autoSpaceDE w:val="0"/>
        <w:autoSpaceDN w:val="0"/>
        <w:spacing w:after="0"/>
        <w:ind w:firstLine="567"/>
        <w:jc w:val="both"/>
        <w:rPr>
          <w:rFonts w:ascii="Times New Roman" w:hAnsi="Times New Roman" w:cs="Times New Roman"/>
          <w:sz w:val="24"/>
          <w:szCs w:val="24"/>
        </w:rPr>
      </w:pPr>
    </w:p>
    <w:p w:rsidR="00F81C27" w:rsidRPr="005D4961" w:rsidRDefault="00F81C27" w:rsidP="00F81C27">
      <w:pPr>
        <w:spacing w:after="0"/>
        <w:ind w:left="1134"/>
        <w:rPr>
          <w:rFonts w:ascii="Times New Roman" w:hAnsi="Times New Roman" w:cs="Times New Roman"/>
          <w:sz w:val="18"/>
          <w:szCs w:val="18"/>
        </w:rPr>
      </w:pPr>
    </w:p>
    <w:p w:rsidR="00F81C27" w:rsidRPr="00BC4597" w:rsidRDefault="00F81C27" w:rsidP="00F81C27">
      <w:pPr>
        <w:spacing w:after="120"/>
        <w:ind w:left="1134"/>
        <w:rPr>
          <w:rFonts w:ascii="Times New Roman" w:hAnsi="Times New Roman" w:cs="Times New Roman"/>
          <w:sz w:val="20"/>
          <w:szCs w:val="20"/>
        </w:rPr>
      </w:pPr>
      <w:r w:rsidRPr="00BC4597">
        <w:rPr>
          <w:rFonts w:ascii="Times New Roman" w:hAnsi="Times New Roman" w:cs="Times New Roman"/>
          <w:sz w:val="20"/>
          <w:szCs w:val="20"/>
        </w:rPr>
        <w:t>Table 1. Rock-Eval Pyr</w:t>
      </w:r>
      <w:r w:rsidR="00331785" w:rsidRPr="00BC4597">
        <w:rPr>
          <w:rFonts w:ascii="Times New Roman" w:hAnsi="Times New Roman" w:cs="Times New Roman"/>
          <w:sz w:val="20"/>
          <w:szCs w:val="20"/>
        </w:rPr>
        <w:t>olysis Data of the Sangkarewang</w:t>
      </w:r>
      <w:r w:rsidR="00D02C45" w:rsidRPr="00BC4597">
        <w:rPr>
          <w:rFonts w:ascii="Times New Roman" w:hAnsi="Times New Roman" w:cs="Times New Roman"/>
          <w:sz w:val="20"/>
          <w:szCs w:val="20"/>
        </w:rPr>
        <w:t xml:space="preserve"> and Sawahlunto(</w:t>
      </w:r>
      <w:r w:rsidR="00331785" w:rsidRPr="00BC4597">
        <w:rPr>
          <w:rFonts w:ascii="Times New Roman" w:hAnsi="Times New Roman" w:cs="Times New Roman"/>
          <w:sz w:val="20"/>
          <w:szCs w:val="20"/>
        </w:rPr>
        <w:t>Talawi and Lubuktaruk</w:t>
      </w:r>
      <w:r w:rsidR="00D02C45" w:rsidRPr="00BC4597">
        <w:rPr>
          <w:rFonts w:ascii="Times New Roman" w:hAnsi="Times New Roman" w:cs="Times New Roman"/>
          <w:sz w:val="20"/>
          <w:szCs w:val="20"/>
        </w:rPr>
        <w:t xml:space="preserve"> areas</w:t>
      </w:r>
      <w:r w:rsidR="00331785" w:rsidRPr="00BC4597">
        <w:rPr>
          <w:rFonts w:ascii="Times New Roman" w:hAnsi="Times New Roman" w:cs="Times New Roman"/>
          <w:sz w:val="20"/>
          <w:szCs w:val="20"/>
        </w:rPr>
        <w:t>) and Kiliran</w:t>
      </w:r>
      <w:r w:rsidRPr="00BC4597">
        <w:rPr>
          <w:rFonts w:ascii="Times New Roman" w:hAnsi="Times New Roman" w:cs="Times New Roman"/>
          <w:sz w:val="20"/>
          <w:szCs w:val="20"/>
        </w:rPr>
        <w:t xml:space="preserve"> Formations</w:t>
      </w:r>
      <w:r w:rsidR="00BC4597" w:rsidRPr="00BC4597">
        <w:rPr>
          <w:rFonts w:ascii="Times New Roman" w:hAnsi="Times New Roman" w:cs="Times New Roman"/>
          <w:sz w:val="20"/>
          <w:szCs w:val="20"/>
        </w:rPr>
        <w:t xml:space="preserve"> (Suwarna et al., 2000 and 2001)</w:t>
      </w:r>
    </w:p>
    <w:tbl>
      <w:tblPr>
        <w:tblW w:w="8237" w:type="dxa"/>
        <w:jc w:val="center"/>
        <w:tblInd w:w="93" w:type="dxa"/>
        <w:tblLook w:val="04A0"/>
      </w:tblPr>
      <w:tblGrid>
        <w:gridCol w:w="412"/>
        <w:gridCol w:w="1304"/>
        <w:gridCol w:w="1134"/>
        <w:gridCol w:w="1418"/>
        <w:gridCol w:w="567"/>
        <w:gridCol w:w="567"/>
        <w:gridCol w:w="567"/>
        <w:gridCol w:w="567"/>
        <w:gridCol w:w="567"/>
        <w:gridCol w:w="567"/>
        <w:gridCol w:w="567"/>
      </w:tblGrid>
      <w:tr w:rsidR="00F81C27" w:rsidRPr="00BC4597" w:rsidTr="00F81C27">
        <w:trPr>
          <w:trHeight w:val="20"/>
          <w:jc w:val="center"/>
        </w:trPr>
        <w:tc>
          <w:tcPr>
            <w:tcW w:w="412" w:type="dxa"/>
            <w:vMerge w:val="restart"/>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No</w:t>
            </w:r>
          </w:p>
        </w:tc>
        <w:tc>
          <w:tcPr>
            <w:tcW w:w="1304" w:type="dxa"/>
            <w:vMerge w:val="restart"/>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ind w:left="-79"/>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Location</w:t>
            </w:r>
          </w:p>
        </w:tc>
        <w:tc>
          <w:tcPr>
            <w:tcW w:w="1134" w:type="dxa"/>
            <w:vMerge w:val="restart"/>
            <w:tcBorders>
              <w:top w:val="single" w:sz="4" w:space="0" w:color="auto"/>
              <w:bottom w:val="single" w:sz="4" w:space="0" w:color="auto"/>
            </w:tcBorders>
            <w:shd w:val="clear" w:color="auto" w:fill="auto"/>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Sample Code</w:t>
            </w:r>
          </w:p>
        </w:tc>
        <w:tc>
          <w:tcPr>
            <w:tcW w:w="1418" w:type="dxa"/>
            <w:vMerge w:val="restart"/>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ind w:left="-249"/>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Lithology</w:t>
            </w:r>
          </w:p>
        </w:tc>
        <w:tc>
          <w:tcPr>
            <w:tcW w:w="567" w:type="dxa"/>
            <w:vMerge w:val="restart"/>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TOC (%)</w:t>
            </w:r>
          </w:p>
        </w:tc>
        <w:tc>
          <w:tcPr>
            <w:tcW w:w="567" w:type="dxa"/>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S1</w:t>
            </w:r>
          </w:p>
        </w:tc>
        <w:tc>
          <w:tcPr>
            <w:tcW w:w="567" w:type="dxa"/>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S2</w:t>
            </w:r>
          </w:p>
        </w:tc>
        <w:tc>
          <w:tcPr>
            <w:tcW w:w="567" w:type="dxa"/>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PY</w:t>
            </w:r>
          </w:p>
        </w:tc>
        <w:tc>
          <w:tcPr>
            <w:tcW w:w="567" w:type="dxa"/>
            <w:vMerge w:val="restart"/>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PI</w:t>
            </w:r>
          </w:p>
        </w:tc>
        <w:tc>
          <w:tcPr>
            <w:tcW w:w="567" w:type="dxa"/>
            <w:vMerge w:val="restart"/>
            <w:tcBorders>
              <w:top w:val="single" w:sz="4" w:space="0" w:color="auto"/>
              <w:bottom w:val="single" w:sz="4" w:space="0" w:color="auto"/>
            </w:tcBorders>
            <w:shd w:val="clear" w:color="auto" w:fill="auto"/>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T</w:t>
            </w:r>
            <w:r w:rsidRPr="00BC4597">
              <w:rPr>
                <w:rFonts w:ascii="Times New Roman" w:eastAsia="Times New Roman" w:hAnsi="Times New Roman" w:cs="Times New Roman"/>
                <w:bCs/>
                <w:sz w:val="16"/>
                <w:szCs w:val="16"/>
                <w:vertAlign w:val="subscript"/>
                <w:lang w:eastAsia="id-ID"/>
              </w:rPr>
              <w:t>max</w:t>
            </w:r>
            <w:r w:rsidRPr="00BC4597">
              <w:rPr>
                <w:rFonts w:ascii="Times New Roman" w:eastAsia="Times New Roman" w:hAnsi="Times New Roman" w:cs="Times New Roman"/>
                <w:bCs/>
                <w:sz w:val="16"/>
                <w:szCs w:val="16"/>
                <w:lang w:eastAsia="id-ID"/>
              </w:rPr>
              <w:t xml:space="preserve"> (°C)</w:t>
            </w:r>
          </w:p>
        </w:tc>
        <w:tc>
          <w:tcPr>
            <w:tcW w:w="567" w:type="dxa"/>
            <w:vMerge w:val="restart"/>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HI</w:t>
            </w:r>
          </w:p>
        </w:tc>
      </w:tr>
      <w:tr w:rsidR="00F81C27" w:rsidRPr="00BC4597" w:rsidTr="00F81C27">
        <w:trPr>
          <w:trHeight w:val="20"/>
          <w:jc w:val="center"/>
        </w:trPr>
        <w:tc>
          <w:tcPr>
            <w:tcW w:w="412"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c>
          <w:tcPr>
            <w:tcW w:w="1304"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c>
          <w:tcPr>
            <w:tcW w:w="1134"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c>
          <w:tcPr>
            <w:tcW w:w="1418"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c>
          <w:tcPr>
            <w:tcW w:w="567"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c>
          <w:tcPr>
            <w:tcW w:w="1701" w:type="dxa"/>
            <w:gridSpan w:val="3"/>
            <w:tcBorders>
              <w:top w:val="single" w:sz="4" w:space="0" w:color="auto"/>
              <w:bottom w:val="single" w:sz="4" w:space="0" w:color="auto"/>
            </w:tcBorders>
            <w:shd w:val="clear" w:color="auto" w:fill="auto"/>
            <w:noWrap/>
            <w:vAlign w:val="center"/>
            <w:hideMark/>
          </w:tcPr>
          <w:p w:rsidR="00F81C27" w:rsidRPr="00BC4597" w:rsidRDefault="00F81C27" w:rsidP="00F81C27">
            <w:pPr>
              <w:spacing w:after="0" w:line="240" w:lineRule="auto"/>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kg/t</w:t>
            </w:r>
          </w:p>
        </w:tc>
        <w:tc>
          <w:tcPr>
            <w:tcW w:w="567"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c>
          <w:tcPr>
            <w:tcW w:w="567"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c>
          <w:tcPr>
            <w:tcW w:w="567" w:type="dxa"/>
            <w:vMerge/>
            <w:tcBorders>
              <w:top w:val="single" w:sz="4" w:space="0" w:color="auto"/>
              <w:bottom w:val="single" w:sz="4" w:space="0" w:color="auto"/>
            </w:tcBorders>
            <w:vAlign w:val="center"/>
            <w:hideMark/>
          </w:tcPr>
          <w:p w:rsidR="00F81C27" w:rsidRPr="00BC4597" w:rsidRDefault="00F81C27" w:rsidP="00F81C27">
            <w:pPr>
              <w:spacing w:after="0" w:line="240" w:lineRule="auto"/>
              <w:rPr>
                <w:rFonts w:ascii="Times New Roman" w:eastAsia="Times New Roman" w:hAnsi="Times New Roman" w:cs="Times New Roman"/>
                <w:b/>
                <w:bCs/>
                <w:sz w:val="16"/>
                <w:szCs w:val="16"/>
                <w:lang w:eastAsia="id-ID"/>
              </w:rPr>
            </w:pPr>
          </w:p>
        </w:tc>
      </w:tr>
      <w:tr w:rsidR="00F81C27" w:rsidRPr="00BC4597" w:rsidTr="00F81C27">
        <w:trPr>
          <w:trHeight w:val="20"/>
          <w:jc w:val="center"/>
        </w:trPr>
        <w:tc>
          <w:tcPr>
            <w:tcW w:w="412" w:type="dxa"/>
            <w:tcBorders>
              <w:top w:val="single" w:sz="4" w:space="0" w:color="auto"/>
            </w:tcBorders>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w:t>
            </w:r>
          </w:p>
        </w:tc>
        <w:tc>
          <w:tcPr>
            <w:tcW w:w="1304" w:type="dxa"/>
            <w:tcBorders>
              <w:top w:val="single" w:sz="4" w:space="0" w:color="auto"/>
            </w:tcBorders>
            <w:shd w:val="clear" w:color="auto" w:fill="auto"/>
            <w:vAlign w:val="bottom"/>
            <w:hideMark/>
          </w:tcPr>
          <w:p w:rsidR="00F81C27" w:rsidRPr="00BC4597" w:rsidRDefault="007E53CA" w:rsidP="00F81C27">
            <w:pPr>
              <w:spacing w:after="0" w:line="240" w:lineRule="auto"/>
              <w:ind w:left="204" w:hanging="284"/>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Talawi </w:t>
            </w:r>
            <w:r w:rsidR="00F81C27" w:rsidRPr="00BC4597">
              <w:rPr>
                <w:rFonts w:ascii="Times New Roman" w:eastAsia="Times New Roman" w:hAnsi="Times New Roman" w:cs="Times New Roman"/>
                <w:sz w:val="16"/>
                <w:szCs w:val="16"/>
                <w:lang w:eastAsia="id-ID"/>
              </w:rPr>
              <w:t xml:space="preserve"> Area</w:t>
            </w:r>
          </w:p>
        </w:tc>
        <w:tc>
          <w:tcPr>
            <w:tcW w:w="1134" w:type="dxa"/>
            <w:tcBorders>
              <w:top w:val="single" w:sz="4" w:space="0" w:color="auto"/>
            </w:tcBorders>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HR. 01 E</w:t>
            </w:r>
          </w:p>
        </w:tc>
        <w:tc>
          <w:tcPr>
            <w:tcW w:w="1418" w:type="dxa"/>
            <w:tcBorders>
              <w:top w:val="single" w:sz="4" w:space="0" w:color="auto"/>
            </w:tcBorders>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shaly</w:t>
            </w:r>
          </w:p>
        </w:tc>
        <w:tc>
          <w:tcPr>
            <w:tcW w:w="567" w:type="dxa"/>
            <w:tcBorders>
              <w:top w:val="single" w:sz="4" w:space="0" w:color="auto"/>
            </w:tcBorders>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1.10</w:t>
            </w:r>
          </w:p>
        </w:tc>
        <w:tc>
          <w:tcPr>
            <w:tcW w:w="567" w:type="dxa"/>
            <w:tcBorders>
              <w:top w:val="single" w:sz="4" w:space="0" w:color="auto"/>
            </w:tcBorders>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0.13</w:t>
            </w:r>
          </w:p>
        </w:tc>
        <w:tc>
          <w:tcPr>
            <w:tcW w:w="567" w:type="dxa"/>
            <w:tcBorders>
              <w:top w:val="single" w:sz="4" w:space="0" w:color="auto"/>
            </w:tcBorders>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2.18</w:t>
            </w:r>
          </w:p>
        </w:tc>
        <w:tc>
          <w:tcPr>
            <w:tcW w:w="567" w:type="dxa"/>
            <w:tcBorders>
              <w:top w:val="single" w:sz="4" w:space="0" w:color="auto"/>
            </w:tcBorders>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2.31</w:t>
            </w:r>
          </w:p>
        </w:tc>
        <w:tc>
          <w:tcPr>
            <w:tcW w:w="567" w:type="dxa"/>
            <w:tcBorders>
              <w:top w:val="single" w:sz="4" w:space="0" w:color="auto"/>
            </w:tcBorders>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0.06</w:t>
            </w:r>
          </w:p>
        </w:tc>
        <w:tc>
          <w:tcPr>
            <w:tcW w:w="567" w:type="dxa"/>
            <w:tcBorders>
              <w:top w:val="single" w:sz="4" w:space="0" w:color="auto"/>
            </w:tcBorders>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453</w:t>
            </w:r>
          </w:p>
        </w:tc>
        <w:tc>
          <w:tcPr>
            <w:tcW w:w="567" w:type="dxa"/>
            <w:tcBorders>
              <w:top w:val="single" w:sz="4" w:space="0" w:color="auto"/>
            </w:tcBorders>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198</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w:t>
            </w:r>
          </w:p>
        </w:tc>
        <w:tc>
          <w:tcPr>
            <w:tcW w:w="1304" w:type="dxa"/>
            <w:shd w:val="clear" w:color="auto" w:fill="auto"/>
            <w:vAlign w:val="bottom"/>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01 B</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dk.gy-blk.</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1.63</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0.22</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3.29</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3.51</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0.06</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446</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202</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07 A</w:t>
            </w:r>
          </w:p>
        </w:tc>
        <w:tc>
          <w:tcPr>
            <w:tcW w:w="1418" w:type="dxa"/>
            <w:shd w:val="clear" w:color="auto" w:fill="auto"/>
            <w:noWrap/>
            <w:vAlign w:val="center"/>
            <w:hideMark/>
          </w:tcPr>
          <w:p w:rsidR="00F81C27" w:rsidRPr="00BC4597" w:rsidRDefault="000E7704"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brn.-dk.g</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1.61</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0.07</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7.84</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7.91</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438</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487</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08 A</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dk.gy.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4.41</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0.38</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26.24</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26.62</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440</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595</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10 A</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dk.gy.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4.05</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0.68</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26.44</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27.12</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0.03</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447</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653</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11 C</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Siltstone, shaly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4.73</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0.82</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35.15</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35.97</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0.03</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440</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743</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w:t>
            </w:r>
          </w:p>
        </w:tc>
        <w:tc>
          <w:tcPr>
            <w:tcW w:w="1304" w:type="dxa"/>
            <w:shd w:val="clear" w:color="auto" w:fill="auto"/>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19 A</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calc., 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2.23</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0.21</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15.76</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15.97</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441</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707</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8</w:t>
            </w:r>
          </w:p>
        </w:tc>
        <w:tc>
          <w:tcPr>
            <w:tcW w:w="1304" w:type="dxa"/>
            <w:shd w:val="clear" w:color="auto" w:fill="auto"/>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ES. 07 A</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Mudstone</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4.51</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0.42</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34.42</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34.84</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446</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763</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w:t>
            </w:r>
          </w:p>
        </w:tc>
        <w:tc>
          <w:tcPr>
            <w:tcW w:w="1304" w:type="dxa"/>
            <w:shd w:val="clear" w:color="auto" w:fill="auto"/>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SB. 08 B</w:t>
            </w:r>
          </w:p>
        </w:tc>
        <w:tc>
          <w:tcPr>
            <w:tcW w:w="1418" w:type="dxa"/>
            <w:shd w:val="clear" w:color="auto" w:fill="auto"/>
            <w:noWrap/>
            <w:vAlign w:val="center"/>
            <w:hideMark/>
          </w:tcPr>
          <w:p w:rsidR="00F81C27" w:rsidRPr="00BC4597" w:rsidRDefault="000E7704"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Siltstone dk.gy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2.45</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0.11</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16.68</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16.79</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441</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681</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DS. 07 A</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dk.gy.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2.03</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0.04</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6.81</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6.85</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439</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335</w:t>
            </w:r>
          </w:p>
        </w:tc>
      </w:tr>
      <w:tr w:rsidR="00F81C27" w:rsidRPr="00BC4597" w:rsidTr="00F81C27">
        <w:trPr>
          <w:trHeight w:val="20"/>
          <w:jc w:val="center"/>
        </w:trPr>
        <w:tc>
          <w:tcPr>
            <w:tcW w:w="412" w:type="dxa"/>
            <w:shd w:val="clear" w:color="auto" w:fill="auto"/>
            <w:noWrap/>
            <w:vAlign w:val="bottom"/>
            <w:hideMark/>
          </w:tcPr>
          <w:p w:rsidR="00F81C27" w:rsidRPr="00BC4597" w:rsidRDefault="00F81C27"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11</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ES. 01 A</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dk.gy.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1.03</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0.06</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2.12</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2.18</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0.03</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438</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206</w:t>
            </w:r>
          </w:p>
        </w:tc>
      </w:tr>
      <w:tr w:rsidR="00F81C27" w:rsidRPr="00BC4597" w:rsidTr="00F81C27">
        <w:trPr>
          <w:trHeight w:val="20"/>
          <w:jc w:val="center"/>
        </w:trPr>
        <w:tc>
          <w:tcPr>
            <w:tcW w:w="412" w:type="dxa"/>
            <w:shd w:val="clear" w:color="auto" w:fill="auto"/>
            <w:noWrap/>
            <w:vAlign w:val="bottom"/>
            <w:hideMark/>
          </w:tcPr>
          <w:p w:rsidR="00F81C27" w:rsidRPr="00BC4597" w:rsidRDefault="00331785"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12</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Lubuktaruk Area</w:t>
            </w: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12 A</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Shale, lt.gy.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1.22</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0.15</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2.52</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2.67</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0.06</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439</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207</w:t>
            </w:r>
          </w:p>
        </w:tc>
      </w:tr>
      <w:tr w:rsidR="00F81C27" w:rsidRPr="00BC4597" w:rsidTr="00F81C27">
        <w:trPr>
          <w:trHeight w:val="20"/>
          <w:jc w:val="center"/>
        </w:trPr>
        <w:tc>
          <w:tcPr>
            <w:tcW w:w="412" w:type="dxa"/>
            <w:shd w:val="clear" w:color="auto" w:fill="auto"/>
            <w:noWrap/>
            <w:vAlign w:val="bottom"/>
            <w:hideMark/>
          </w:tcPr>
          <w:p w:rsidR="00F81C27" w:rsidRPr="00BC4597" w:rsidRDefault="00331785"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13</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12 B</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spongy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8.12</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0.44</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67.28</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67.72</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441</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829</w:t>
            </w:r>
          </w:p>
        </w:tc>
      </w:tr>
      <w:tr w:rsidR="00F81C27" w:rsidRPr="00BC4597" w:rsidTr="00F81C27">
        <w:trPr>
          <w:trHeight w:val="20"/>
          <w:jc w:val="center"/>
        </w:trPr>
        <w:tc>
          <w:tcPr>
            <w:tcW w:w="412" w:type="dxa"/>
            <w:shd w:val="clear" w:color="auto" w:fill="auto"/>
            <w:noWrap/>
            <w:vAlign w:val="bottom"/>
            <w:hideMark/>
          </w:tcPr>
          <w:p w:rsidR="00F81C27" w:rsidRPr="00BC4597" w:rsidRDefault="00331785"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14</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12 E 10</w:t>
            </w:r>
          </w:p>
        </w:tc>
        <w:tc>
          <w:tcPr>
            <w:tcW w:w="1418" w:type="dxa"/>
            <w:shd w:val="clear" w:color="auto" w:fill="auto"/>
            <w:noWrap/>
            <w:vAlign w:val="center"/>
            <w:hideMark/>
          </w:tcPr>
          <w:p w:rsidR="00F81C27" w:rsidRPr="00BC4597" w:rsidRDefault="00F81C27" w:rsidP="00BC4597">
            <w:pPr>
              <w:spacing w:after="0" w:line="240" w:lineRule="auto"/>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spongy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1.34</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0.23</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3.33</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3.56</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0.06</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443</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249</w:t>
            </w:r>
          </w:p>
        </w:tc>
      </w:tr>
      <w:tr w:rsidR="00F81C27" w:rsidRPr="00BC4597" w:rsidTr="00F81C27">
        <w:trPr>
          <w:trHeight w:val="20"/>
          <w:jc w:val="center"/>
        </w:trPr>
        <w:tc>
          <w:tcPr>
            <w:tcW w:w="412" w:type="dxa"/>
            <w:shd w:val="clear" w:color="auto" w:fill="auto"/>
            <w:noWrap/>
            <w:vAlign w:val="bottom"/>
            <w:hideMark/>
          </w:tcPr>
          <w:p w:rsidR="00F81C27" w:rsidRPr="00BC4597" w:rsidRDefault="00331785"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15</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Kiliranjao Area</w:t>
            </w: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13 C</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Spongy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7.23</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0.65</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62.5</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63.15</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432</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864</w:t>
            </w:r>
          </w:p>
        </w:tc>
      </w:tr>
      <w:tr w:rsidR="00F81C27" w:rsidRPr="00BC4597" w:rsidTr="00F81C27">
        <w:trPr>
          <w:trHeight w:val="20"/>
          <w:jc w:val="center"/>
        </w:trPr>
        <w:tc>
          <w:tcPr>
            <w:tcW w:w="412" w:type="dxa"/>
            <w:shd w:val="clear" w:color="auto" w:fill="auto"/>
            <w:noWrap/>
            <w:vAlign w:val="bottom"/>
            <w:hideMark/>
          </w:tcPr>
          <w:p w:rsidR="00F81C27" w:rsidRPr="00BC4597" w:rsidRDefault="00331785"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13 E</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 spongy</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9.03</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1.68</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78.04</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79.72</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0.03</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432</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864</w:t>
            </w:r>
          </w:p>
        </w:tc>
      </w:tr>
      <w:tr w:rsidR="00F81C27" w:rsidRPr="00BC4597" w:rsidTr="00F81C27">
        <w:trPr>
          <w:trHeight w:val="20"/>
          <w:jc w:val="center"/>
        </w:trPr>
        <w:tc>
          <w:tcPr>
            <w:tcW w:w="412" w:type="dxa"/>
            <w:shd w:val="clear" w:color="auto" w:fill="auto"/>
            <w:noWrap/>
            <w:vAlign w:val="bottom"/>
            <w:hideMark/>
          </w:tcPr>
          <w:p w:rsidR="00F81C27" w:rsidRPr="00BC4597" w:rsidRDefault="00331785"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17</w:t>
            </w:r>
          </w:p>
        </w:tc>
        <w:tc>
          <w:tcPr>
            <w:tcW w:w="1304" w:type="dxa"/>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p>
        </w:tc>
        <w:tc>
          <w:tcPr>
            <w:tcW w:w="1134" w:type="dxa"/>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14 G</w:t>
            </w:r>
          </w:p>
        </w:tc>
        <w:tc>
          <w:tcPr>
            <w:tcW w:w="1418" w:type="dxa"/>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Mdst.</w:t>
            </w:r>
          </w:p>
        </w:tc>
        <w:tc>
          <w:tcPr>
            <w:tcW w:w="567" w:type="dxa"/>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5.94</w:t>
            </w:r>
          </w:p>
        </w:tc>
        <w:tc>
          <w:tcPr>
            <w:tcW w:w="567" w:type="dxa"/>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0.37</w:t>
            </w:r>
          </w:p>
        </w:tc>
        <w:tc>
          <w:tcPr>
            <w:tcW w:w="567" w:type="dxa"/>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30.63</w:t>
            </w:r>
          </w:p>
        </w:tc>
        <w:tc>
          <w:tcPr>
            <w:tcW w:w="567" w:type="dxa"/>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31.00</w:t>
            </w:r>
          </w:p>
        </w:tc>
        <w:tc>
          <w:tcPr>
            <w:tcW w:w="567" w:type="dxa"/>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431</w:t>
            </w:r>
          </w:p>
        </w:tc>
        <w:tc>
          <w:tcPr>
            <w:tcW w:w="567" w:type="dxa"/>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516</w:t>
            </w:r>
          </w:p>
        </w:tc>
      </w:tr>
      <w:tr w:rsidR="00F81C27" w:rsidRPr="00BC4597" w:rsidTr="00F81C27">
        <w:trPr>
          <w:trHeight w:val="20"/>
          <w:jc w:val="center"/>
        </w:trPr>
        <w:tc>
          <w:tcPr>
            <w:tcW w:w="412" w:type="dxa"/>
            <w:tcBorders>
              <w:bottom w:val="single" w:sz="4" w:space="0" w:color="auto"/>
            </w:tcBorders>
            <w:shd w:val="clear" w:color="auto" w:fill="auto"/>
            <w:noWrap/>
            <w:vAlign w:val="bottom"/>
            <w:hideMark/>
          </w:tcPr>
          <w:p w:rsidR="00F81C27" w:rsidRPr="00BC4597" w:rsidRDefault="00331785" w:rsidP="00F81C27">
            <w:pPr>
              <w:spacing w:after="0" w:line="240" w:lineRule="auto"/>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18</w:t>
            </w:r>
          </w:p>
        </w:tc>
        <w:tc>
          <w:tcPr>
            <w:tcW w:w="1304" w:type="dxa"/>
            <w:tcBorders>
              <w:bottom w:val="single" w:sz="4" w:space="0" w:color="auto"/>
            </w:tcBorders>
            <w:shd w:val="clear" w:color="auto" w:fill="auto"/>
            <w:noWrap/>
            <w:vAlign w:val="center"/>
            <w:hideMark/>
          </w:tcPr>
          <w:p w:rsidR="00F81C27" w:rsidRPr="00BC4597" w:rsidRDefault="00F81C27" w:rsidP="00F81C27">
            <w:pPr>
              <w:spacing w:after="0" w:line="240" w:lineRule="auto"/>
              <w:ind w:left="204" w:hanging="284"/>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w:t>
            </w:r>
          </w:p>
        </w:tc>
        <w:tc>
          <w:tcPr>
            <w:tcW w:w="1134" w:type="dxa"/>
            <w:tcBorders>
              <w:bottom w:val="single" w:sz="4" w:space="0" w:color="auto"/>
            </w:tcBorders>
            <w:shd w:val="clear" w:color="auto" w:fill="auto"/>
            <w:noWrap/>
            <w:vAlign w:val="center"/>
            <w:hideMark/>
          </w:tcPr>
          <w:p w:rsidR="00F81C27" w:rsidRPr="00BC4597" w:rsidRDefault="00F81C27" w:rsidP="00BC4597">
            <w:pPr>
              <w:tabs>
                <w:tab w:val="left" w:pos="-533"/>
              </w:tabs>
              <w:spacing w:after="0" w:line="240" w:lineRule="auto"/>
              <w:ind w:left="-391"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15 A</w:t>
            </w:r>
          </w:p>
        </w:tc>
        <w:tc>
          <w:tcPr>
            <w:tcW w:w="1418" w:type="dxa"/>
            <w:tcBorders>
              <w:bottom w:val="single" w:sz="4" w:space="0" w:color="auto"/>
            </w:tcBorders>
            <w:shd w:val="clear" w:color="auto" w:fill="auto"/>
            <w:noWrap/>
            <w:vAlign w:val="center"/>
            <w:hideMark/>
          </w:tcPr>
          <w:p w:rsidR="00F81C27" w:rsidRPr="00BC4597" w:rsidRDefault="00F81C27" w:rsidP="00BC4597">
            <w:pPr>
              <w:spacing w:after="0" w:line="240" w:lineRule="auto"/>
              <w:ind w:left="-533" w:firstLineChars="300" w:firstLine="48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Siltstone</w:t>
            </w:r>
          </w:p>
        </w:tc>
        <w:tc>
          <w:tcPr>
            <w:tcW w:w="567" w:type="dxa"/>
            <w:tcBorders>
              <w:bottom w:val="single" w:sz="4" w:space="0" w:color="auto"/>
            </w:tcBorders>
            <w:shd w:val="clear" w:color="auto" w:fill="auto"/>
            <w:noWrap/>
            <w:vAlign w:val="bottom"/>
            <w:hideMark/>
          </w:tcPr>
          <w:p w:rsidR="00F81C27" w:rsidRPr="00BC4597" w:rsidRDefault="00F81C27" w:rsidP="00BC4597">
            <w:pPr>
              <w:spacing w:after="0" w:line="240" w:lineRule="auto"/>
              <w:ind w:left="-5662" w:right="34" w:firstLineChars="300" w:firstLine="48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3.00</w:t>
            </w:r>
          </w:p>
        </w:tc>
        <w:tc>
          <w:tcPr>
            <w:tcW w:w="567" w:type="dxa"/>
            <w:tcBorders>
              <w:bottom w:val="single" w:sz="4" w:space="0" w:color="auto"/>
            </w:tcBorders>
            <w:shd w:val="clear" w:color="auto" w:fill="auto"/>
            <w:noWrap/>
            <w:vAlign w:val="center"/>
            <w:hideMark/>
          </w:tcPr>
          <w:p w:rsidR="00F81C27" w:rsidRPr="00BC4597" w:rsidRDefault="00F81C27" w:rsidP="00BC4597">
            <w:pPr>
              <w:spacing w:after="0" w:line="240" w:lineRule="auto"/>
              <w:ind w:left="-6395"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0.14</w:t>
            </w:r>
          </w:p>
        </w:tc>
        <w:tc>
          <w:tcPr>
            <w:tcW w:w="567" w:type="dxa"/>
            <w:tcBorders>
              <w:bottom w:val="single" w:sz="4" w:space="0" w:color="auto"/>
            </w:tcBorders>
            <w:shd w:val="clear" w:color="auto" w:fill="auto"/>
            <w:noWrap/>
            <w:vAlign w:val="center"/>
            <w:hideMark/>
          </w:tcPr>
          <w:p w:rsidR="00F81C27" w:rsidRPr="00BC4597" w:rsidRDefault="00F81C27" w:rsidP="00BC4597">
            <w:pPr>
              <w:tabs>
                <w:tab w:val="left" w:pos="351"/>
                <w:tab w:val="left" w:pos="884"/>
              </w:tabs>
              <w:spacing w:after="0" w:line="240" w:lineRule="auto"/>
              <w:ind w:left="-6913"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14.52</w:t>
            </w:r>
          </w:p>
        </w:tc>
        <w:tc>
          <w:tcPr>
            <w:tcW w:w="567" w:type="dxa"/>
            <w:tcBorders>
              <w:bottom w:val="single" w:sz="4" w:space="0" w:color="auto"/>
            </w:tcBorders>
            <w:shd w:val="clear" w:color="auto" w:fill="auto"/>
            <w:noWrap/>
            <w:vAlign w:val="center"/>
            <w:hideMark/>
          </w:tcPr>
          <w:p w:rsidR="00F81C27" w:rsidRPr="00BC4597" w:rsidRDefault="00F81C27" w:rsidP="00BC4597">
            <w:pPr>
              <w:spacing w:after="0" w:line="240" w:lineRule="auto"/>
              <w:ind w:left="-874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14.66</w:t>
            </w:r>
          </w:p>
        </w:tc>
        <w:tc>
          <w:tcPr>
            <w:tcW w:w="567" w:type="dxa"/>
            <w:tcBorders>
              <w:bottom w:val="single" w:sz="4" w:space="0" w:color="auto"/>
            </w:tcBorders>
            <w:shd w:val="clear" w:color="auto" w:fill="auto"/>
            <w:noWrap/>
            <w:vAlign w:val="center"/>
            <w:hideMark/>
          </w:tcPr>
          <w:p w:rsidR="00F81C27" w:rsidRPr="00BC4597" w:rsidRDefault="00F81C27" w:rsidP="00BC4597">
            <w:pPr>
              <w:tabs>
                <w:tab w:val="left" w:pos="317"/>
              </w:tabs>
              <w:spacing w:after="0" w:line="240" w:lineRule="auto"/>
              <w:ind w:left="-8992"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0.01</w:t>
            </w:r>
          </w:p>
        </w:tc>
        <w:tc>
          <w:tcPr>
            <w:tcW w:w="567" w:type="dxa"/>
            <w:tcBorders>
              <w:bottom w:val="single" w:sz="4" w:space="0" w:color="auto"/>
            </w:tcBorders>
            <w:shd w:val="clear" w:color="auto" w:fill="auto"/>
            <w:noWrap/>
            <w:vAlign w:val="center"/>
            <w:hideMark/>
          </w:tcPr>
          <w:p w:rsidR="00F81C27" w:rsidRPr="00BC4597" w:rsidRDefault="00F81C27" w:rsidP="00BC4597">
            <w:pPr>
              <w:spacing w:after="0" w:line="240" w:lineRule="auto"/>
              <w:ind w:left="-13071"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432</w:t>
            </w:r>
          </w:p>
        </w:tc>
        <w:tc>
          <w:tcPr>
            <w:tcW w:w="567" w:type="dxa"/>
            <w:tcBorders>
              <w:bottom w:val="single" w:sz="4" w:space="0" w:color="auto"/>
            </w:tcBorders>
            <w:shd w:val="clear" w:color="auto" w:fill="auto"/>
            <w:noWrap/>
            <w:vAlign w:val="center"/>
            <w:hideMark/>
          </w:tcPr>
          <w:p w:rsidR="00F81C27" w:rsidRPr="00BC4597" w:rsidRDefault="00F81C27" w:rsidP="00BC4597">
            <w:pPr>
              <w:spacing w:after="0" w:line="240" w:lineRule="auto"/>
              <w:ind w:left="-11560" w:right="34" w:firstLineChars="200" w:firstLine="32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484</w:t>
            </w:r>
          </w:p>
        </w:tc>
      </w:tr>
    </w:tbl>
    <w:p w:rsidR="00F81C27" w:rsidRPr="00BC4597" w:rsidRDefault="00F81C27" w:rsidP="00BC4597">
      <w:pPr>
        <w:widowControl w:val="0"/>
        <w:autoSpaceDE w:val="0"/>
        <w:autoSpaceDN w:val="0"/>
        <w:spacing w:after="0"/>
        <w:ind w:right="72"/>
        <w:jc w:val="both"/>
        <w:rPr>
          <w:rFonts w:ascii="Times New Roman" w:hAnsi="Times New Roman" w:cs="Times New Roman"/>
          <w:spacing w:val="3"/>
          <w:sz w:val="16"/>
          <w:szCs w:val="16"/>
        </w:rPr>
      </w:pPr>
      <w:r w:rsidRPr="00BC4597">
        <w:rPr>
          <w:rFonts w:ascii="Times New Roman" w:eastAsia="Times New Roman" w:hAnsi="Times New Roman" w:cs="Times New Roman"/>
          <w:sz w:val="16"/>
          <w:szCs w:val="16"/>
          <w:lang w:eastAsia="id-ID"/>
        </w:rPr>
        <w:t>Explanation:</w:t>
      </w:r>
    </w:p>
    <w:p w:rsidR="00F81C27" w:rsidRPr="00BC4597" w:rsidRDefault="00F81C27" w:rsidP="00F81C27">
      <w:pPr>
        <w:tabs>
          <w:tab w:val="left" w:pos="3491"/>
        </w:tabs>
        <w:ind w:left="426"/>
        <w:rPr>
          <w:rFonts w:ascii="Times New Roman" w:hAnsi="Times New Roman" w:cs="Times New Roman"/>
          <w:spacing w:val="3"/>
          <w:sz w:val="16"/>
          <w:szCs w:val="16"/>
        </w:rPr>
      </w:pPr>
      <w:r w:rsidRPr="00BC4597">
        <w:rPr>
          <w:rFonts w:ascii="Times New Roman" w:eastAsia="Times New Roman" w:hAnsi="Times New Roman" w:cs="Times New Roman"/>
          <w:sz w:val="16"/>
          <w:szCs w:val="16"/>
          <w:lang w:eastAsia="id-ID"/>
        </w:rPr>
        <w:t>TOC : Total Organic Carbon            S3 : Organic carbon dioxides                  T</w:t>
      </w:r>
      <w:r w:rsidRPr="00BC4597">
        <w:rPr>
          <w:rFonts w:ascii="Times New Roman" w:eastAsia="Times New Roman" w:hAnsi="Times New Roman" w:cs="Times New Roman"/>
          <w:sz w:val="16"/>
          <w:szCs w:val="16"/>
          <w:vertAlign w:val="subscript"/>
          <w:lang w:eastAsia="id-ID"/>
        </w:rPr>
        <w:t>max</w:t>
      </w:r>
      <w:r w:rsidRPr="00BC4597">
        <w:rPr>
          <w:rFonts w:ascii="Times New Roman" w:eastAsia="Times New Roman" w:hAnsi="Times New Roman" w:cs="Times New Roman"/>
          <w:sz w:val="16"/>
          <w:szCs w:val="16"/>
          <w:lang w:eastAsia="id-ID"/>
        </w:rPr>
        <w:t xml:space="preserve"> : maximum temperature (oC) at top of S2 peak</w:t>
      </w:r>
      <w:r w:rsidRPr="00BC4597">
        <w:rPr>
          <w:rFonts w:ascii="Times New Roman" w:eastAsia="Times New Roman" w:hAnsi="Times New Roman" w:cs="Times New Roman"/>
          <w:sz w:val="16"/>
          <w:szCs w:val="16"/>
          <w:lang w:eastAsia="id-ID"/>
        </w:rPr>
        <w:br/>
        <w:t>S1     : Amount of free HC               PY : Amount of total HC = S1+S2           HI     : hydrogen index (S2/TOC) X 100</w:t>
      </w:r>
      <w:r w:rsidRPr="00BC4597">
        <w:rPr>
          <w:rFonts w:ascii="Times New Roman" w:eastAsia="Times New Roman" w:hAnsi="Times New Roman" w:cs="Times New Roman"/>
          <w:sz w:val="16"/>
          <w:szCs w:val="16"/>
          <w:lang w:eastAsia="id-ID"/>
        </w:rPr>
        <w:br/>
        <w:t xml:space="preserve">S2 : Amount of HC released  from kerogen                                                       PI     : production index  = S1/S1+S2  </w:t>
      </w:r>
    </w:p>
    <w:p w:rsidR="00F81C27" w:rsidRDefault="00F81C27" w:rsidP="00D02C45">
      <w:pPr>
        <w:widowControl w:val="0"/>
        <w:autoSpaceDE w:val="0"/>
        <w:autoSpaceDN w:val="0"/>
        <w:spacing w:after="0"/>
        <w:ind w:right="72"/>
        <w:jc w:val="both"/>
        <w:rPr>
          <w:rFonts w:ascii="Times New Roman" w:hAnsi="Times New Roman" w:cs="Times New Roman"/>
          <w:spacing w:val="3"/>
          <w:sz w:val="20"/>
          <w:szCs w:val="20"/>
        </w:rPr>
      </w:pPr>
    </w:p>
    <w:p w:rsidR="00D02C45" w:rsidRDefault="00D02C45" w:rsidP="00D02C45">
      <w:pPr>
        <w:widowControl w:val="0"/>
        <w:autoSpaceDE w:val="0"/>
        <w:autoSpaceDN w:val="0"/>
        <w:spacing w:after="0"/>
        <w:ind w:right="72"/>
        <w:jc w:val="both"/>
        <w:rPr>
          <w:rFonts w:ascii="Times New Roman" w:hAnsi="Times New Roman" w:cs="Times New Roman"/>
          <w:sz w:val="24"/>
          <w:szCs w:val="24"/>
        </w:rPr>
      </w:pPr>
      <w:r w:rsidRPr="00BC4597">
        <w:rPr>
          <w:rFonts w:ascii="Times New Roman" w:hAnsi="Times New Roman" w:cs="Times New Roman"/>
          <w:spacing w:val="1"/>
          <w:sz w:val="24"/>
          <w:szCs w:val="24"/>
        </w:rPr>
        <w:t xml:space="preserve">The Sawahlunto Formation is represented by one sample analyzed. Sample ES.0lA showing TOC value </w:t>
      </w:r>
      <w:r w:rsidRPr="00BC4597">
        <w:rPr>
          <w:rFonts w:ascii="Times New Roman" w:hAnsi="Times New Roman" w:cs="Times New Roman"/>
          <w:sz w:val="24"/>
          <w:szCs w:val="24"/>
        </w:rPr>
        <w:t>of 1.03 % with PY of 2.13 mg HC/g rock is included into oil-prone potential (Figure 4). Its T</w:t>
      </w:r>
      <w:r w:rsidRPr="00BC4597">
        <w:rPr>
          <w:rFonts w:ascii="Times New Roman" w:hAnsi="Times New Roman" w:cs="Times New Roman"/>
          <w:sz w:val="24"/>
          <w:szCs w:val="24"/>
          <w:vertAlign w:val="subscript"/>
        </w:rPr>
        <w:t>max</w:t>
      </w:r>
      <w:r w:rsidRPr="00BC4597">
        <w:rPr>
          <w:rFonts w:ascii="Times New Roman" w:hAnsi="Times New Roman" w:cs="Times New Roman"/>
          <w:sz w:val="24"/>
          <w:szCs w:val="24"/>
        </w:rPr>
        <w:t xml:space="preserve"> is 438°C, with HI of 206 range. This sample falls under Type II kerogen (Figure 5).</w:t>
      </w:r>
    </w:p>
    <w:p w:rsidR="00BC4597" w:rsidRPr="00BC4597" w:rsidRDefault="00BC4597" w:rsidP="00BC4597">
      <w:pPr>
        <w:widowControl w:val="0"/>
        <w:autoSpaceDE w:val="0"/>
        <w:autoSpaceDN w:val="0"/>
        <w:spacing w:after="0"/>
        <w:ind w:right="72" w:firstLine="567"/>
        <w:jc w:val="both"/>
        <w:rPr>
          <w:rFonts w:ascii="Times New Roman" w:hAnsi="Times New Roman" w:cs="Times New Roman"/>
          <w:sz w:val="24"/>
          <w:szCs w:val="24"/>
        </w:rPr>
      </w:pPr>
      <w:r w:rsidRPr="00BC4597">
        <w:rPr>
          <w:rFonts w:ascii="Times New Roman" w:hAnsi="Times New Roman" w:cs="Times New Roman"/>
          <w:spacing w:val="3"/>
          <w:sz w:val="24"/>
          <w:szCs w:val="24"/>
        </w:rPr>
        <w:t xml:space="preserve">Retort-Oven analysis indicates that the oilcontent of the analyzed samples predominantly varies from 3.0 to 97.0 l/t </w:t>
      </w:r>
      <w:r w:rsidRPr="00BC4597">
        <w:rPr>
          <w:rFonts w:ascii="Times New Roman" w:hAnsi="Times New Roman" w:cs="Times New Roman"/>
          <w:sz w:val="24"/>
          <w:szCs w:val="24"/>
        </w:rPr>
        <w:t>with averages 25.8 l/t (Table 2). The highest oilcontent occurs in sample NS.11A (97.0 1/t), whereas, the lowest oilcontent (NS 10G: 3.0 1/t); both occur in Sipang River of Talawi area. Sixteen of twenty four samples representingthe Sangkarewang Formation exhibit good to excellent level of hydrocarbon potential (oil content &gt; 18.00 1/t). This condition is dominated by thirteen samples, that have average oil content of 37.35 1/t.</w:t>
      </w:r>
    </w:p>
    <w:p w:rsidR="00BC4597" w:rsidRPr="00BC4597" w:rsidRDefault="00BC4597" w:rsidP="00BC4597">
      <w:pPr>
        <w:widowControl w:val="0"/>
        <w:autoSpaceDE w:val="0"/>
        <w:autoSpaceDN w:val="0"/>
        <w:spacing w:after="0"/>
        <w:ind w:right="72" w:firstLine="567"/>
        <w:jc w:val="both"/>
        <w:rPr>
          <w:rFonts w:ascii="Times New Roman" w:hAnsi="Times New Roman" w:cs="Times New Roman"/>
          <w:spacing w:val="3"/>
          <w:sz w:val="24"/>
          <w:szCs w:val="24"/>
        </w:rPr>
      </w:pPr>
    </w:p>
    <w:p w:rsidR="00F81C27" w:rsidRPr="005D4961" w:rsidRDefault="00F81C27" w:rsidP="00F81C27">
      <w:pPr>
        <w:widowControl w:val="0"/>
        <w:autoSpaceDE w:val="0"/>
        <w:autoSpaceDN w:val="0"/>
        <w:spacing w:after="0"/>
        <w:ind w:right="72"/>
        <w:jc w:val="center"/>
        <w:rPr>
          <w:rFonts w:ascii="Times New Roman" w:hAnsi="Times New Roman" w:cs="Times New Roman"/>
          <w:spacing w:val="3"/>
          <w:sz w:val="20"/>
          <w:szCs w:val="20"/>
        </w:rPr>
      </w:pPr>
      <w:r w:rsidRPr="005D4961">
        <w:rPr>
          <w:rFonts w:ascii="Times New Roman" w:hAnsi="Times New Roman" w:cs="Times New Roman"/>
          <w:spacing w:val="3"/>
          <w:sz w:val="20"/>
          <w:szCs w:val="20"/>
        </w:rPr>
        <w:object w:dxaOrig="9990" w:dyaOrig="10545">
          <v:shape id="_x0000_i1026" type="#_x0000_t75" style="width:206pt;height:218.5pt" o:ole="">
            <v:imagedata r:id="rId12" o:title=""/>
          </v:shape>
          <o:OLEObject Type="Embed" ProgID="AcroExch.Document.7" ShapeID="_x0000_i1026" DrawAspect="Content" ObjectID="_1478627862" r:id="rId13"/>
        </w:object>
      </w:r>
    </w:p>
    <w:p w:rsidR="00F81C27" w:rsidRPr="00BC4597" w:rsidRDefault="00F81C27" w:rsidP="00F81C27">
      <w:pPr>
        <w:widowControl w:val="0"/>
        <w:autoSpaceDE w:val="0"/>
        <w:autoSpaceDN w:val="0"/>
        <w:spacing w:before="120" w:after="0"/>
        <w:ind w:right="74"/>
        <w:jc w:val="center"/>
        <w:rPr>
          <w:rFonts w:ascii="Times New Roman" w:hAnsi="Times New Roman" w:cs="Times New Roman"/>
          <w:spacing w:val="3"/>
        </w:rPr>
      </w:pPr>
      <w:r w:rsidRPr="00BC4597">
        <w:rPr>
          <w:rFonts w:ascii="Times New Roman" w:hAnsi="Times New Roman" w:cs="Times New Roman"/>
          <w:spacing w:val="3"/>
        </w:rPr>
        <w:t xml:space="preserve">Figure </w:t>
      </w:r>
      <w:r w:rsidR="007E53CA" w:rsidRPr="00BC4597">
        <w:rPr>
          <w:rFonts w:ascii="Times New Roman" w:hAnsi="Times New Roman" w:cs="Times New Roman"/>
          <w:spacing w:val="3"/>
        </w:rPr>
        <w:t>4</w:t>
      </w:r>
      <w:r w:rsidRPr="00BC4597">
        <w:rPr>
          <w:rFonts w:ascii="Times New Roman" w:hAnsi="Times New Roman" w:cs="Times New Roman"/>
          <w:spacing w:val="3"/>
        </w:rPr>
        <w:t xml:space="preserve">. Diagram of TOC </w:t>
      </w:r>
      <w:r w:rsidRPr="00BC4597">
        <w:rPr>
          <w:rFonts w:ascii="Times New Roman" w:hAnsi="Times New Roman" w:cs="Times New Roman"/>
          <w:i/>
          <w:spacing w:val="3"/>
        </w:rPr>
        <w:t>versus</w:t>
      </w:r>
      <w:r w:rsidRPr="00BC4597">
        <w:rPr>
          <w:rFonts w:ascii="Times New Roman" w:hAnsi="Times New Roman" w:cs="Times New Roman"/>
          <w:spacing w:val="3"/>
        </w:rPr>
        <w:t xml:space="preserve"> Pyrolysis Yields (PY) showing the richness and hydrocarbon potential of the Sangkarewang </w:t>
      </w:r>
      <w:r w:rsidR="00331785" w:rsidRPr="00BC4597">
        <w:rPr>
          <w:rFonts w:ascii="Times New Roman" w:hAnsi="Times New Roman" w:cs="Times New Roman"/>
          <w:spacing w:val="3"/>
        </w:rPr>
        <w:t>(Talawi</w:t>
      </w:r>
      <w:r w:rsidR="00D02C45" w:rsidRPr="00BC4597">
        <w:rPr>
          <w:rFonts w:ascii="Times New Roman" w:hAnsi="Times New Roman" w:cs="Times New Roman"/>
          <w:spacing w:val="3"/>
        </w:rPr>
        <w:t xml:space="preserve"> including Sipang, Sangkarewang River, Setangkai, and Tanjungbalit;</w:t>
      </w:r>
      <w:r w:rsidR="00331785" w:rsidRPr="00BC4597">
        <w:rPr>
          <w:rFonts w:ascii="Times New Roman" w:hAnsi="Times New Roman" w:cs="Times New Roman"/>
          <w:spacing w:val="3"/>
        </w:rPr>
        <w:t xml:space="preserve"> and Lubuktaruk areas) </w:t>
      </w:r>
      <w:r w:rsidRPr="00BC4597">
        <w:rPr>
          <w:rFonts w:ascii="Times New Roman" w:hAnsi="Times New Roman" w:cs="Times New Roman"/>
          <w:spacing w:val="3"/>
        </w:rPr>
        <w:t>and Kiliran oil shales.</w:t>
      </w:r>
    </w:p>
    <w:p w:rsidR="00331785" w:rsidRPr="005D4961" w:rsidRDefault="00331785" w:rsidP="00F81C27">
      <w:pPr>
        <w:widowControl w:val="0"/>
        <w:autoSpaceDE w:val="0"/>
        <w:autoSpaceDN w:val="0"/>
        <w:spacing w:before="120" w:after="0"/>
        <w:ind w:right="74"/>
        <w:jc w:val="center"/>
        <w:rPr>
          <w:rFonts w:ascii="Times New Roman" w:hAnsi="Times New Roman" w:cs="Times New Roman"/>
          <w:spacing w:val="3"/>
          <w:sz w:val="18"/>
          <w:szCs w:val="20"/>
        </w:rPr>
      </w:pPr>
    </w:p>
    <w:p w:rsidR="00F81C27" w:rsidRPr="005D4961" w:rsidRDefault="00000870" w:rsidP="00F81C27">
      <w:pPr>
        <w:widowControl w:val="0"/>
        <w:autoSpaceDE w:val="0"/>
        <w:autoSpaceDN w:val="0"/>
        <w:spacing w:after="0"/>
        <w:ind w:right="72"/>
        <w:jc w:val="center"/>
        <w:rPr>
          <w:rFonts w:ascii="Times New Roman" w:hAnsi="Times New Roman" w:cs="Times New Roman"/>
          <w:spacing w:val="3"/>
          <w:sz w:val="20"/>
          <w:szCs w:val="20"/>
        </w:rPr>
      </w:pPr>
      <w:r w:rsidRPr="00000870">
        <w:rPr>
          <w:rFonts w:ascii="Times New Roman" w:hAnsi="Times New Roman" w:cs="Times New Roman"/>
          <w:noProof/>
          <w:spacing w:val="3"/>
          <w:sz w:val="20"/>
          <w:szCs w:val="20"/>
          <w:lang w:eastAsia="id-ID"/>
        </w:rPr>
        <w:pict>
          <v:rect id="Rectangle 3" o:spid="_x0000_s1026" style="position:absolute;left:0;text-align:left;margin-left:112.7pt;margin-top:-2.85pt;width:229.9pt;height:29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" filled="f" strokecolor="black [3213]" strokeweight=".5pt">
            <v:path arrowok="t"/>
          </v:rect>
        </w:pict>
      </w:r>
      <w:r w:rsidR="00F81C27" w:rsidRPr="005D4961">
        <w:rPr>
          <w:rFonts w:ascii="Times New Roman" w:hAnsi="Times New Roman" w:cs="Times New Roman"/>
          <w:spacing w:val="3"/>
          <w:sz w:val="20"/>
          <w:szCs w:val="20"/>
        </w:rPr>
        <w:object w:dxaOrig="13920" w:dyaOrig="18480">
          <v:shape id="_x0000_i1027" type="#_x0000_t75" style="width:221.65pt;height:297.4pt" o:ole="">
            <v:imagedata r:id="rId14" o:title=""/>
          </v:shape>
          <o:OLEObject Type="Embed" ProgID="AcroExch.Document.7" ShapeID="_x0000_i1027" DrawAspect="Content" ObjectID="_1478627863" r:id="rId15"/>
        </w:object>
      </w:r>
    </w:p>
    <w:p w:rsidR="00F81C27" w:rsidRPr="00BC4597" w:rsidRDefault="00F81C27" w:rsidP="00F81C27">
      <w:pPr>
        <w:widowControl w:val="0"/>
        <w:autoSpaceDE w:val="0"/>
        <w:autoSpaceDN w:val="0"/>
        <w:spacing w:before="120" w:after="0"/>
        <w:ind w:right="74"/>
        <w:jc w:val="center"/>
        <w:rPr>
          <w:rFonts w:ascii="Times New Roman" w:hAnsi="Times New Roman" w:cs="Times New Roman"/>
          <w:spacing w:val="3"/>
        </w:rPr>
      </w:pPr>
      <w:r w:rsidRPr="00BC4597">
        <w:rPr>
          <w:rFonts w:ascii="Times New Roman" w:hAnsi="Times New Roman" w:cs="Times New Roman"/>
          <w:spacing w:val="3"/>
        </w:rPr>
        <w:t xml:space="preserve">Figure </w:t>
      </w:r>
      <w:r w:rsidR="007E53CA" w:rsidRPr="00BC4597">
        <w:rPr>
          <w:rFonts w:ascii="Times New Roman" w:hAnsi="Times New Roman" w:cs="Times New Roman"/>
          <w:spacing w:val="3"/>
        </w:rPr>
        <w:t>5</w:t>
      </w:r>
      <w:r w:rsidRPr="00BC4597">
        <w:rPr>
          <w:rFonts w:ascii="Times New Roman" w:hAnsi="Times New Roman" w:cs="Times New Roman"/>
          <w:spacing w:val="3"/>
        </w:rPr>
        <w:t xml:space="preserve">. Hydrogen Index (HI) </w:t>
      </w:r>
      <w:r w:rsidRPr="00BC4597">
        <w:rPr>
          <w:rFonts w:ascii="Times New Roman" w:hAnsi="Times New Roman" w:cs="Times New Roman"/>
          <w:i/>
          <w:spacing w:val="3"/>
        </w:rPr>
        <w:t>versus</w:t>
      </w:r>
      <w:r w:rsidRPr="00BC4597">
        <w:rPr>
          <w:rFonts w:ascii="Times New Roman" w:hAnsi="Times New Roman" w:cs="Times New Roman"/>
          <w:spacing w:val="3"/>
        </w:rPr>
        <w:t xml:space="preserve"> T</w:t>
      </w:r>
      <w:r w:rsidRPr="00BC4597">
        <w:rPr>
          <w:rFonts w:ascii="Times New Roman" w:hAnsi="Times New Roman" w:cs="Times New Roman"/>
          <w:spacing w:val="3"/>
          <w:vertAlign w:val="subscript"/>
        </w:rPr>
        <w:t>max</w:t>
      </w:r>
      <w:r w:rsidRPr="00BC4597">
        <w:rPr>
          <w:rFonts w:ascii="Times New Roman" w:hAnsi="Times New Roman" w:cs="Times New Roman"/>
          <w:spacing w:val="3"/>
        </w:rPr>
        <w:t xml:space="preserve"> diagram, showing kerogen type of oil shale of the Sangkarewang </w:t>
      </w:r>
      <w:r w:rsidR="00D02C45" w:rsidRPr="00BC4597">
        <w:rPr>
          <w:rFonts w:ascii="Times New Roman" w:hAnsi="Times New Roman" w:cs="Times New Roman"/>
          <w:spacing w:val="3"/>
        </w:rPr>
        <w:t xml:space="preserve">(Talawi, including Sipang, Sangkarewang River, Setangkai, and Tanjungbalit; and Lubuktaruk areas) </w:t>
      </w:r>
      <w:r w:rsidRPr="00BC4597">
        <w:rPr>
          <w:rFonts w:ascii="Times New Roman" w:hAnsi="Times New Roman" w:cs="Times New Roman"/>
          <w:spacing w:val="3"/>
        </w:rPr>
        <w:t>and Kiliran Formation.</w:t>
      </w:r>
    </w:p>
    <w:p w:rsidR="00F81C27" w:rsidRPr="005D4961" w:rsidRDefault="00F81C27" w:rsidP="00F81C27">
      <w:pPr>
        <w:widowControl w:val="0"/>
        <w:autoSpaceDE w:val="0"/>
        <w:autoSpaceDN w:val="0"/>
        <w:spacing w:after="0"/>
        <w:ind w:right="72"/>
        <w:jc w:val="center"/>
        <w:rPr>
          <w:rFonts w:ascii="Times New Roman" w:hAnsi="Times New Roman" w:cs="Times New Roman"/>
          <w:spacing w:val="3"/>
          <w:sz w:val="20"/>
          <w:szCs w:val="20"/>
        </w:rPr>
      </w:pPr>
    </w:p>
    <w:p w:rsidR="00F81C27" w:rsidRPr="00BC4597" w:rsidRDefault="00F81C27" w:rsidP="00F81C27">
      <w:pPr>
        <w:widowControl w:val="0"/>
        <w:autoSpaceDE w:val="0"/>
        <w:autoSpaceDN w:val="0"/>
        <w:spacing w:after="0"/>
        <w:ind w:firstLine="567"/>
        <w:jc w:val="both"/>
        <w:rPr>
          <w:rFonts w:ascii="Times New Roman" w:hAnsi="Times New Roman" w:cs="Times New Roman"/>
          <w:sz w:val="24"/>
          <w:szCs w:val="24"/>
        </w:rPr>
      </w:pPr>
      <w:r w:rsidRPr="00BC4597">
        <w:rPr>
          <w:rFonts w:ascii="Times New Roman" w:hAnsi="Times New Roman" w:cs="Times New Roman"/>
          <w:spacing w:val="9"/>
          <w:sz w:val="24"/>
          <w:szCs w:val="24"/>
        </w:rPr>
        <w:t xml:space="preserve">Furthermore, in </w:t>
      </w:r>
      <w:r w:rsidRPr="00BC4597">
        <w:rPr>
          <w:rFonts w:ascii="Times New Roman" w:hAnsi="Times New Roman" w:cs="Times New Roman"/>
          <w:sz w:val="24"/>
          <w:szCs w:val="24"/>
        </w:rPr>
        <w:t>the Kiliran Formation of Kiliranjao area, Rock-Eval pyrolysis (Table 1) and Retort-Oven analysis (Table 2) reveal that the four selected representa</w:t>
      </w:r>
      <w:r w:rsidR="003B7B4A" w:rsidRPr="00BC4597">
        <w:rPr>
          <w:rFonts w:ascii="Times New Roman" w:hAnsi="Times New Roman" w:cs="Times New Roman"/>
          <w:sz w:val="24"/>
          <w:szCs w:val="24"/>
        </w:rPr>
        <w:t>tive oil shale and fine clastic</w:t>
      </w:r>
      <w:r w:rsidRPr="00BC4597">
        <w:rPr>
          <w:rFonts w:ascii="Times New Roman" w:hAnsi="Times New Roman" w:cs="Times New Roman"/>
          <w:sz w:val="24"/>
          <w:szCs w:val="24"/>
        </w:rPr>
        <w:t xml:space="preserve"> samples show characteristics as described follows. T</w:t>
      </w:r>
      <w:r w:rsidRPr="00BC4597">
        <w:rPr>
          <w:rFonts w:ascii="Times New Roman" w:hAnsi="Times New Roman" w:cs="Times New Roman"/>
          <w:spacing w:val="9"/>
          <w:sz w:val="24"/>
          <w:szCs w:val="24"/>
        </w:rPr>
        <w:t xml:space="preserve">he TOC </w:t>
      </w:r>
      <w:r w:rsidRPr="00BC4597">
        <w:rPr>
          <w:rFonts w:ascii="Times New Roman" w:hAnsi="Times New Roman" w:cs="Times New Roman"/>
          <w:spacing w:val="4"/>
          <w:sz w:val="24"/>
          <w:szCs w:val="24"/>
        </w:rPr>
        <w:t xml:space="preserve">values range </w:t>
      </w:r>
      <w:r w:rsidRPr="00BC4597">
        <w:rPr>
          <w:rFonts w:ascii="Times New Roman" w:hAnsi="Times New Roman" w:cs="Times New Roman"/>
          <w:spacing w:val="4"/>
          <w:sz w:val="24"/>
          <w:szCs w:val="24"/>
        </w:rPr>
        <w:lastRenderedPageBreak/>
        <w:t xml:space="preserve">between 3.00 - 9.03 % , pyrolysis </w:t>
      </w:r>
      <w:r w:rsidRPr="00BC4597">
        <w:rPr>
          <w:rFonts w:ascii="Times New Roman" w:hAnsi="Times New Roman" w:cs="Times New Roman"/>
          <w:sz w:val="24"/>
          <w:szCs w:val="24"/>
        </w:rPr>
        <w:t>yields (PY) between 14.66 - 79.72 mg HC/g rock, T</w:t>
      </w:r>
      <w:r w:rsidRPr="00BC4597">
        <w:rPr>
          <w:rFonts w:ascii="Times New Roman" w:hAnsi="Times New Roman" w:cs="Times New Roman"/>
          <w:sz w:val="24"/>
          <w:szCs w:val="24"/>
          <w:vertAlign w:val="subscript"/>
        </w:rPr>
        <w:t>max</w:t>
      </w:r>
      <w:r w:rsidRPr="00BC4597">
        <w:rPr>
          <w:rFonts w:ascii="Times New Roman" w:hAnsi="Times New Roman" w:cs="Times New Roman"/>
          <w:sz w:val="24"/>
          <w:szCs w:val="24"/>
        </w:rPr>
        <w:t xml:space="preserve"> varies from 431° - 432° C, and </w:t>
      </w:r>
      <w:r w:rsidRPr="00BC4597">
        <w:rPr>
          <w:rFonts w:ascii="Times New Roman" w:hAnsi="Times New Roman" w:cs="Times New Roman"/>
          <w:spacing w:val="7"/>
          <w:sz w:val="24"/>
          <w:szCs w:val="24"/>
        </w:rPr>
        <w:t xml:space="preserve">hydrogen index (HI) of 484 - 864 range. Based on this data, thereby, the oil shale of Kiliran Formation is </w:t>
      </w:r>
      <w:r w:rsidRPr="00BC4597">
        <w:rPr>
          <w:rFonts w:ascii="Times New Roman" w:hAnsi="Times New Roman" w:cs="Times New Roman"/>
          <w:spacing w:val="9"/>
          <w:sz w:val="24"/>
          <w:szCs w:val="24"/>
        </w:rPr>
        <w:t xml:space="preserve">classified as an excellent potential level, included into Type I and II kerogen </w:t>
      </w:r>
      <w:r w:rsidRPr="00BC4597">
        <w:rPr>
          <w:rFonts w:ascii="Times New Roman" w:hAnsi="Times New Roman" w:cs="Times New Roman"/>
          <w:sz w:val="24"/>
          <w:szCs w:val="24"/>
        </w:rPr>
        <w:t xml:space="preserve">(Figure </w:t>
      </w:r>
      <w:r w:rsidR="003B7B4A" w:rsidRPr="00BC4597">
        <w:rPr>
          <w:rFonts w:ascii="Times New Roman" w:hAnsi="Times New Roman" w:cs="Times New Roman"/>
          <w:sz w:val="24"/>
          <w:szCs w:val="24"/>
        </w:rPr>
        <w:t>5</w:t>
      </w:r>
      <w:r w:rsidRPr="00BC4597">
        <w:rPr>
          <w:rFonts w:ascii="Times New Roman" w:hAnsi="Times New Roman" w:cs="Times New Roman"/>
          <w:sz w:val="24"/>
          <w:szCs w:val="24"/>
        </w:rPr>
        <w:t xml:space="preserve">), and is dominated by oil-prone potential level (Figure </w:t>
      </w:r>
      <w:r w:rsidR="003B7B4A" w:rsidRPr="00BC4597">
        <w:rPr>
          <w:rFonts w:ascii="Times New Roman" w:hAnsi="Times New Roman" w:cs="Times New Roman"/>
          <w:sz w:val="24"/>
          <w:szCs w:val="24"/>
        </w:rPr>
        <w:t>4</w:t>
      </w:r>
      <w:r w:rsidRPr="00BC4597">
        <w:rPr>
          <w:rFonts w:ascii="Times New Roman" w:hAnsi="Times New Roman" w:cs="Times New Roman"/>
          <w:sz w:val="24"/>
          <w:szCs w:val="24"/>
        </w:rPr>
        <w:t xml:space="preserve">). Thermal maturity of the samples falls  onto </w:t>
      </w:r>
      <w:r w:rsidR="003B7B4A" w:rsidRPr="00BC4597">
        <w:rPr>
          <w:rFonts w:ascii="Times New Roman" w:hAnsi="Times New Roman" w:cs="Times New Roman"/>
          <w:sz w:val="24"/>
          <w:szCs w:val="24"/>
        </w:rPr>
        <w:t xml:space="preserve">an </w:t>
      </w:r>
      <w:r w:rsidRPr="00BC4597">
        <w:rPr>
          <w:rFonts w:ascii="Times New Roman" w:hAnsi="Times New Roman" w:cs="Times New Roman"/>
          <w:sz w:val="24"/>
          <w:szCs w:val="24"/>
        </w:rPr>
        <w:t xml:space="preserve">immature stage (Figure </w:t>
      </w:r>
      <w:r w:rsidR="003B7B4A" w:rsidRPr="00BC4597">
        <w:rPr>
          <w:rFonts w:ascii="Times New Roman" w:hAnsi="Times New Roman" w:cs="Times New Roman"/>
          <w:sz w:val="24"/>
          <w:szCs w:val="24"/>
        </w:rPr>
        <w:t>5</w:t>
      </w:r>
      <w:r w:rsidRPr="00BC4597">
        <w:rPr>
          <w:rFonts w:ascii="Times New Roman" w:hAnsi="Times New Roman" w:cs="Times New Roman"/>
          <w:sz w:val="24"/>
          <w:szCs w:val="24"/>
        </w:rPr>
        <w:t>).</w:t>
      </w:r>
    </w:p>
    <w:p w:rsidR="00F81C27" w:rsidRPr="00BC4597" w:rsidRDefault="00F81C27" w:rsidP="00F81C27">
      <w:pPr>
        <w:spacing w:after="0"/>
        <w:ind w:firstLine="567"/>
        <w:jc w:val="both"/>
        <w:rPr>
          <w:rFonts w:ascii="Times New Roman" w:hAnsi="Times New Roman" w:cs="Times New Roman"/>
          <w:sz w:val="24"/>
          <w:szCs w:val="24"/>
        </w:rPr>
      </w:pPr>
      <w:r w:rsidRPr="00BC4597">
        <w:rPr>
          <w:rFonts w:ascii="Times New Roman" w:hAnsi="Times New Roman" w:cs="Times New Roman"/>
          <w:sz w:val="24"/>
          <w:szCs w:val="24"/>
        </w:rPr>
        <w:t xml:space="preserve">Thermal maturity of the rock samples are random, but it is consistent, that the rocks are included into an immature level with minor early mature (Figure </w:t>
      </w:r>
      <w:r w:rsidR="003B7B4A" w:rsidRPr="00BC4597">
        <w:rPr>
          <w:rFonts w:ascii="Times New Roman" w:hAnsi="Times New Roman" w:cs="Times New Roman"/>
          <w:sz w:val="24"/>
          <w:szCs w:val="24"/>
        </w:rPr>
        <w:t>5</w:t>
      </w:r>
      <w:r w:rsidRPr="00BC4597">
        <w:rPr>
          <w:rFonts w:ascii="Times New Roman" w:hAnsi="Times New Roman" w:cs="Times New Roman"/>
          <w:sz w:val="24"/>
          <w:szCs w:val="24"/>
        </w:rPr>
        <w:t>). This condition is supported by the T</w:t>
      </w:r>
      <w:r w:rsidRPr="00BC4597">
        <w:rPr>
          <w:rFonts w:ascii="Times New Roman" w:hAnsi="Times New Roman" w:cs="Times New Roman"/>
          <w:sz w:val="24"/>
          <w:szCs w:val="24"/>
          <w:vertAlign w:val="subscript"/>
        </w:rPr>
        <w:t>max</w:t>
      </w:r>
      <w:r w:rsidRPr="00BC4597">
        <w:rPr>
          <w:rFonts w:ascii="Times New Roman" w:hAnsi="Times New Roman" w:cs="Times New Roman"/>
          <w:sz w:val="24"/>
          <w:szCs w:val="24"/>
        </w:rPr>
        <w:t>&lt; 440</w:t>
      </w:r>
      <w:r w:rsidRPr="00BC4597">
        <w:rPr>
          <w:rFonts w:ascii="Times New Roman" w:hAnsi="Times New Roman" w:cs="Times New Roman"/>
          <w:sz w:val="24"/>
          <w:szCs w:val="24"/>
          <w:vertAlign w:val="superscript"/>
        </w:rPr>
        <w:t>o</w:t>
      </w:r>
      <w:r w:rsidRPr="00BC4597">
        <w:rPr>
          <w:rFonts w:ascii="Times New Roman" w:hAnsi="Times New Roman" w:cs="Times New Roman"/>
          <w:sz w:val="24"/>
          <w:szCs w:val="24"/>
        </w:rPr>
        <w:t xml:space="preserve">C, and the dominant hydrocarbon potential index  (PI) = </w:t>
      </w:r>
      <w:r w:rsidRPr="00BC4597">
        <w:rPr>
          <w:rFonts w:ascii="Times New Roman" w:hAnsi="Times New Roman" w:cs="Times New Roman"/>
          <w:sz w:val="24"/>
          <w:szCs w:val="24"/>
        </w:rPr>
        <w:sym w:font="Symbol" w:char="F07E"/>
      </w:r>
      <w:r w:rsidRPr="00BC4597">
        <w:rPr>
          <w:rFonts w:ascii="Times New Roman" w:hAnsi="Times New Roman" w:cs="Times New Roman"/>
          <w:sz w:val="24"/>
          <w:szCs w:val="24"/>
        </w:rPr>
        <w:t xml:space="preserve"> 0.02 (Table 1). </w:t>
      </w:r>
    </w:p>
    <w:p w:rsidR="003B7B4A" w:rsidRPr="00BC4597" w:rsidRDefault="003B7B4A" w:rsidP="003B7B4A">
      <w:pPr>
        <w:widowControl w:val="0"/>
        <w:autoSpaceDE w:val="0"/>
        <w:autoSpaceDN w:val="0"/>
        <w:spacing w:after="0"/>
        <w:ind w:right="72" w:firstLine="567"/>
        <w:jc w:val="both"/>
        <w:rPr>
          <w:rFonts w:ascii="Times New Roman" w:hAnsi="Times New Roman" w:cs="Times New Roman"/>
          <w:sz w:val="24"/>
          <w:szCs w:val="24"/>
        </w:rPr>
      </w:pPr>
      <w:r w:rsidRPr="00BC4597">
        <w:rPr>
          <w:rFonts w:ascii="Times New Roman" w:hAnsi="Times New Roman" w:cs="Times New Roman"/>
          <w:spacing w:val="3"/>
          <w:sz w:val="24"/>
          <w:szCs w:val="24"/>
        </w:rPr>
        <w:t xml:space="preserve">On the basis of Retort-Oven analysis, the oilcontent of the samples analyzed </w:t>
      </w:r>
      <w:r w:rsidR="00562EFA" w:rsidRPr="00BC4597">
        <w:rPr>
          <w:rFonts w:ascii="Times New Roman" w:hAnsi="Times New Roman" w:cs="Times New Roman"/>
          <w:spacing w:val="3"/>
          <w:sz w:val="24"/>
          <w:szCs w:val="24"/>
        </w:rPr>
        <w:t xml:space="preserve">in Kiliran </w:t>
      </w:r>
      <w:r w:rsidRPr="00BC4597">
        <w:rPr>
          <w:rFonts w:ascii="Times New Roman" w:hAnsi="Times New Roman" w:cs="Times New Roman"/>
          <w:spacing w:val="3"/>
          <w:sz w:val="24"/>
          <w:szCs w:val="24"/>
        </w:rPr>
        <w:t xml:space="preserve">ranges between </w:t>
      </w:r>
      <w:r w:rsidR="00562EFA" w:rsidRPr="00BC4597">
        <w:rPr>
          <w:rFonts w:ascii="Times New Roman" w:hAnsi="Times New Roman" w:cs="Times New Roman"/>
          <w:spacing w:val="3"/>
          <w:sz w:val="24"/>
          <w:szCs w:val="24"/>
        </w:rPr>
        <w:t>22.0 and 78</w:t>
      </w:r>
      <w:r w:rsidRPr="00BC4597">
        <w:rPr>
          <w:rFonts w:ascii="Times New Roman" w:hAnsi="Times New Roman" w:cs="Times New Roman"/>
          <w:spacing w:val="3"/>
          <w:sz w:val="24"/>
          <w:szCs w:val="24"/>
        </w:rPr>
        <w:t>.0 l/t</w:t>
      </w:r>
      <w:r w:rsidR="00562EFA" w:rsidRPr="00BC4597">
        <w:rPr>
          <w:rFonts w:ascii="Times New Roman" w:hAnsi="Times New Roman" w:cs="Times New Roman"/>
          <w:spacing w:val="3"/>
          <w:sz w:val="24"/>
          <w:szCs w:val="24"/>
        </w:rPr>
        <w:t>.</w:t>
      </w:r>
      <w:r w:rsidRPr="00BC4597">
        <w:rPr>
          <w:rFonts w:ascii="Times New Roman" w:hAnsi="Times New Roman" w:cs="Times New Roman"/>
          <w:sz w:val="24"/>
          <w:szCs w:val="24"/>
        </w:rPr>
        <w:t xml:space="preserve">The highest oilcontent </w:t>
      </w:r>
      <w:r w:rsidR="00562EFA" w:rsidRPr="00BC4597">
        <w:rPr>
          <w:rFonts w:ascii="Times New Roman" w:hAnsi="Times New Roman" w:cs="Times New Roman"/>
          <w:sz w:val="24"/>
          <w:szCs w:val="24"/>
        </w:rPr>
        <w:t xml:space="preserve">showing excellent level of oil potential </w:t>
      </w:r>
      <w:r w:rsidRPr="00BC4597">
        <w:rPr>
          <w:rFonts w:ascii="Times New Roman" w:hAnsi="Times New Roman" w:cs="Times New Roman"/>
          <w:sz w:val="24"/>
          <w:szCs w:val="24"/>
        </w:rPr>
        <w:t>occurs in sample NS.</w:t>
      </w:r>
      <w:r w:rsidR="00562EFA" w:rsidRPr="00BC4597">
        <w:rPr>
          <w:rFonts w:ascii="Times New Roman" w:hAnsi="Times New Roman" w:cs="Times New Roman"/>
          <w:sz w:val="24"/>
          <w:szCs w:val="24"/>
        </w:rPr>
        <w:t xml:space="preserve">13B, whereastwo samples (NS 14i and 15E0 have a similar </w:t>
      </w:r>
      <w:r w:rsidRPr="00BC4597">
        <w:rPr>
          <w:rFonts w:ascii="Times New Roman" w:hAnsi="Times New Roman" w:cs="Times New Roman"/>
          <w:sz w:val="24"/>
          <w:szCs w:val="24"/>
        </w:rPr>
        <w:t>lowest oilcontent</w:t>
      </w:r>
      <w:r w:rsidR="00562EFA" w:rsidRPr="00BC4597">
        <w:rPr>
          <w:rFonts w:ascii="Times New Roman" w:hAnsi="Times New Roman" w:cs="Times New Roman"/>
          <w:sz w:val="24"/>
          <w:szCs w:val="24"/>
        </w:rPr>
        <w:t>.</w:t>
      </w:r>
    </w:p>
    <w:p w:rsidR="00562EFA" w:rsidRDefault="00562EFA" w:rsidP="003B7B4A">
      <w:pPr>
        <w:widowControl w:val="0"/>
        <w:autoSpaceDE w:val="0"/>
        <w:autoSpaceDN w:val="0"/>
        <w:spacing w:after="0"/>
        <w:ind w:right="72" w:firstLine="567"/>
        <w:jc w:val="both"/>
        <w:rPr>
          <w:rFonts w:ascii="Times New Roman" w:hAnsi="Times New Roman" w:cs="Times New Roman"/>
          <w:sz w:val="20"/>
          <w:szCs w:val="20"/>
        </w:rPr>
      </w:pPr>
    </w:p>
    <w:p w:rsidR="00562EFA" w:rsidRPr="00BC4597" w:rsidRDefault="00562EFA" w:rsidP="00562EFA">
      <w:pPr>
        <w:spacing w:after="120"/>
        <w:jc w:val="center"/>
        <w:rPr>
          <w:rFonts w:ascii="Times New Roman" w:hAnsi="Times New Roman" w:cs="Times New Roman"/>
        </w:rPr>
      </w:pPr>
      <w:r w:rsidRPr="00BC4597">
        <w:rPr>
          <w:rFonts w:ascii="Times New Roman" w:hAnsi="Times New Roman" w:cs="Times New Roman"/>
        </w:rPr>
        <w:t>Table 2.  Retort-Oven Analysis Data of the Sangkarewang, Kiliran, and Sawahlunto</w:t>
      </w:r>
    </w:p>
    <w:tbl>
      <w:tblPr>
        <w:tblW w:w="6111" w:type="dxa"/>
        <w:jc w:val="center"/>
        <w:tblInd w:w="93" w:type="dxa"/>
        <w:tblLook w:val="04A0"/>
      </w:tblPr>
      <w:tblGrid>
        <w:gridCol w:w="452"/>
        <w:gridCol w:w="1257"/>
        <w:gridCol w:w="1410"/>
        <w:gridCol w:w="1432"/>
        <w:gridCol w:w="1560"/>
      </w:tblGrid>
      <w:tr w:rsidR="00562EFA" w:rsidRPr="00BC4597" w:rsidTr="00FB11A4">
        <w:trPr>
          <w:trHeight w:val="20"/>
          <w:jc w:val="center"/>
        </w:trPr>
        <w:tc>
          <w:tcPr>
            <w:tcW w:w="452" w:type="dxa"/>
            <w:tcBorders>
              <w:top w:val="single" w:sz="4" w:space="0" w:color="auto"/>
              <w:bottom w:val="single" w:sz="4" w:space="0" w:color="auto"/>
            </w:tcBorders>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No.</w:t>
            </w:r>
          </w:p>
        </w:tc>
        <w:tc>
          <w:tcPr>
            <w:tcW w:w="1257" w:type="dxa"/>
            <w:tcBorders>
              <w:top w:val="single" w:sz="4" w:space="0" w:color="auto"/>
              <w:bottom w:val="single" w:sz="4" w:space="0" w:color="auto"/>
            </w:tcBorders>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Sample Code</w:t>
            </w:r>
          </w:p>
        </w:tc>
        <w:tc>
          <w:tcPr>
            <w:tcW w:w="1410" w:type="dxa"/>
            <w:tcBorders>
              <w:top w:val="single" w:sz="4" w:space="0" w:color="auto"/>
              <w:bottom w:val="single" w:sz="4" w:space="0" w:color="auto"/>
            </w:tcBorders>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Location</w:t>
            </w:r>
          </w:p>
        </w:tc>
        <w:tc>
          <w:tcPr>
            <w:tcW w:w="1432" w:type="dxa"/>
            <w:tcBorders>
              <w:top w:val="single" w:sz="4" w:space="0" w:color="auto"/>
              <w:bottom w:val="single" w:sz="4" w:space="0" w:color="auto"/>
            </w:tcBorders>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Oil Content (l/t)</w:t>
            </w:r>
          </w:p>
        </w:tc>
        <w:tc>
          <w:tcPr>
            <w:tcW w:w="1560" w:type="dxa"/>
            <w:tcBorders>
              <w:top w:val="single" w:sz="4" w:space="0" w:color="auto"/>
              <w:bottom w:val="single" w:sz="4" w:space="0" w:color="auto"/>
            </w:tcBorders>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bCs/>
                <w:sz w:val="16"/>
                <w:szCs w:val="16"/>
                <w:lang w:eastAsia="id-ID"/>
              </w:rPr>
            </w:pPr>
            <w:r w:rsidRPr="00BC4597">
              <w:rPr>
                <w:rFonts w:ascii="Times New Roman" w:eastAsia="Times New Roman" w:hAnsi="Times New Roman" w:cs="Times New Roman"/>
                <w:bCs/>
                <w:sz w:val="16"/>
                <w:szCs w:val="16"/>
                <w:lang w:eastAsia="id-ID"/>
              </w:rPr>
              <w:t>Water Content (l/t)</w:t>
            </w:r>
          </w:p>
        </w:tc>
      </w:tr>
      <w:tr w:rsidR="00562EFA" w:rsidRPr="00BC4597" w:rsidTr="00FB11A4">
        <w:trPr>
          <w:trHeight w:val="20"/>
          <w:jc w:val="center"/>
        </w:trPr>
        <w:tc>
          <w:tcPr>
            <w:tcW w:w="452" w:type="dxa"/>
            <w:tcBorders>
              <w:top w:val="single" w:sz="4" w:space="0" w:color="auto"/>
            </w:tcBorders>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w:t>
            </w:r>
          </w:p>
        </w:tc>
        <w:tc>
          <w:tcPr>
            <w:tcW w:w="1257" w:type="dxa"/>
            <w:tcBorders>
              <w:top w:val="single" w:sz="4" w:space="0" w:color="auto"/>
            </w:tcBorders>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01 B</w:t>
            </w:r>
          </w:p>
        </w:tc>
        <w:tc>
          <w:tcPr>
            <w:tcW w:w="1410" w:type="dxa"/>
            <w:tcBorders>
              <w:top w:val="single" w:sz="4" w:space="0" w:color="auto"/>
            </w:tcBorders>
            <w:shd w:val="clear" w:color="auto" w:fill="auto"/>
            <w:noWrap/>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Talawi Area</w:t>
            </w:r>
          </w:p>
        </w:tc>
        <w:tc>
          <w:tcPr>
            <w:tcW w:w="1432" w:type="dxa"/>
            <w:tcBorders>
              <w:top w:val="single" w:sz="4" w:space="0" w:color="auto"/>
            </w:tcBorders>
            <w:shd w:val="clear" w:color="auto" w:fill="auto"/>
            <w:noWrap/>
            <w:vAlign w:val="center"/>
            <w:hideMark/>
          </w:tcPr>
          <w:p w:rsidR="00562EFA" w:rsidRPr="00BC4597" w:rsidRDefault="00562EFA" w:rsidP="00BC4597">
            <w:pPr>
              <w:spacing w:after="0"/>
              <w:ind w:leftChars="-2240" w:right="317" w:hangingChars="3080" w:hanging="4928"/>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8.0</w:t>
            </w:r>
          </w:p>
        </w:tc>
        <w:tc>
          <w:tcPr>
            <w:tcW w:w="1560" w:type="dxa"/>
            <w:tcBorders>
              <w:top w:val="single" w:sz="4" w:space="0" w:color="auto"/>
            </w:tcBorders>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104.0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02 B</w:t>
            </w:r>
          </w:p>
        </w:tc>
        <w:tc>
          <w:tcPr>
            <w:tcW w:w="1410" w:type="dxa"/>
            <w:shd w:val="clear" w:color="auto" w:fill="auto"/>
            <w:noWrap/>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04 D</w:t>
            </w:r>
          </w:p>
        </w:tc>
        <w:tc>
          <w:tcPr>
            <w:tcW w:w="1410" w:type="dxa"/>
            <w:shd w:val="clear" w:color="auto" w:fill="auto"/>
            <w:noWrap/>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50.0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HR. 01 E</w:t>
            </w:r>
          </w:p>
        </w:tc>
        <w:tc>
          <w:tcPr>
            <w:tcW w:w="1410" w:type="dxa"/>
            <w:shd w:val="clear" w:color="auto" w:fill="auto"/>
            <w:noWrap/>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70.0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HR. 03 A</w:t>
            </w:r>
          </w:p>
        </w:tc>
        <w:tc>
          <w:tcPr>
            <w:tcW w:w="1410" w:type="dxa"/>
            <w:shd w:val="clear" w:color="auto" w:fill="auto"/>
            <w:noWrap/>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78.0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07 A</w:t>
            </w:r>
          </w:p>
        </w:tc>
        <w:tc>
          <w:tcPr>
            <w:tcW w:w="1410" w:type="dxa"/>
            <w:shd w:val="clear" w:color="auto" w:fill="auto"/>
            <w:noWrap/>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18.0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172.0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08 A</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41.0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96.0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8</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08 D</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36.0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132.0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08 G</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61.0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08 J</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28.0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11</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08 L</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42.0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12</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10 A</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18.0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13</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10 D</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41.0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60.0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14</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10 G</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68.0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15</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11 A</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97.0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11 E</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36.0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17</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11 -I</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18</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ES. 06 C</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18.0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19</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ES. 06 D</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22.0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ES. 07 A</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36.0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100.0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21</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18 A</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13.0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118.0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22</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19 A</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98.0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23</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05 A</w:t>
            </w:r>
          </w:p>
        </w:tc>
        <w:tc>
          <w:tcPr>
            <w:tcW w:w="1410" w:type="dxa"/>
            <w:shd w:val="clear" w:color="auto" w:fill="auto"/>
            <w:noWrap/>
            <w:vAlign w:val="bottom"/>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18.0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200.0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24</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DS. 34 A </w:t>
            </w:r>
          </w:p>
        </w:tc>
        <w:tc>
          <w:tcPr>
            <w:tcW w:w="1410" w:type="dxa"/>
            <w:shd w:val="clear" w:color="auto" w:fill="auto"/>
            <w:noWrap/>
            <w:vAlign w:val="bottom"/>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6.4</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44.0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25</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12 A</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Lu</w:t>
            </w:r>
            <w:r w:rsidR="00BC4597" w:rsidRPr="00BC4597">
              <w:rPr>
                <w:rFonts w:ascii="Times New Roman" w:eastAsia="Times New Roman" w:hAnsi="Times New Roman" w:cs="Times New Roman"/>
                <w:sz w:val="16"/>
                <w:szCs w:val="16"/>
                <w:lang w:eastAsia="id-ID"/>
              </w:rPr>
              <w:t xml:space="preserve">buktaruk </w:t>
            </w:r>
            <w:r w:rsidRPr="00BC4597">
              <w:rPr>
                <w:rFonts w:ascii="Times New Roman" w:eastAsia="Times New Roman" w:hAnsi="Times New Roman" w:cs="Times New Roman"/>
                <w:sz w:val="16"/>
                <w:szCs w:val="16"/>
                <w:lang w:eastAsia="id-ID"/>
              </w:rPr>
              <w:t>Area</w:t>
            </w: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10.0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96.0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26</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12 E 10</w:t>
            </w:r>
          </w:p>
        </w:tc>
        <w:tc>
          <w:tcPr>
            <w:tcW w:w="1410" w:type="dxa"/>
            <w:shd w:val="clear" w:color="auto" w:fill="auto"/>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70.0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27</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NS. 13 C </w:t>
            </w:r>
          </w:p>
        </w:tc>
        <w:tc>
          <w:tcPr>
            <w:tcW w:w="1410" w:type="dxa"/>
            <w:shd w:val="clear" w:color="auto" w:fill="auto"/>
            <w:noWrap/>
            <w:vAlign w:val="center"/>
            <w:hideMark/>
          </w:tcPr>
          <w:p w:rsidR="00562EFA" w:rsidRPr="00BC4597" w:rsidRDefault="00562EFA" w:rsidP="00BC4597">
            <w:pPr>
              <w:spacing w:after="0"/>
              <w:ind w:left="-108" w:firstLineChars="100" w:firstLine="16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Kiliranjao Area</w:t>
            </w: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50.0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92.0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28</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NS. 13 E </w:t>
            </w:r>
          </w:p>
        </w:tc>
        <w:tc>
          <w:tcPr>
            <w:tcW w:w="1410" w:type="dxa"/>
            <w:shd w:val="clear" w:color="auto" w:fill="auto"/>
            <w:noWrap/>
            <w:vAlign w:val="center"/>
            <w:hideMark/>
          </w:tcPr>
          <w:p w:rsidR="00562EFA" w:rsidRPr="00BC4597" w:rsidRDefault="00562EFA" w:rsidP="00FB11A4">
            <w:pPr>
              <w:spacing w:after="0"/>
              <w:ind w:left="-108"/>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78.0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232.0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29</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NS. 14 A </w:t>
            </w:r>
          </w:p>
        </w:tc>
        <w:tc>
          <w:tcPr>
            <w:tcW w:w="1410" w:type="dxa"/>
            <w:shd w:val="clear" w:color="auto" w:fill="auto"/>
            <w:noWrap/>
            <w:vAlign w:val="center"/>
            <w:hideMark/>
          </w:tcPr>
          <w:p w:rsidR="00562EFA" w:rsidRPr="00BC4597" w:rsidRDefault="00562EFA" w:rsidP="00FB11A4">
            <w:pPr>
              <w:spacing w:after="0"/>
              <w:ind w:left="-108"/>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24.0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192.0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30</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NS. 14G </w:t>
            </w:r>
          </w:p>
        </w:tc>
        <w:tc>
          <w:tcPr>
            <w:tcW w:w="1410" w:type="dxa"/>
            <w:shd w:val="clear" w:color="auto" w:fill="auto"/>
            <w:noWrap/>
            <w:vAlign w:val="center"/>
            <w:hideMark/>
          </w:tcPr>
          <w:p w:rsidR="00562EFA" w:rsidRPr="00BC4597" w:rsidRDefault="00562EFA" w:rsidP="00FB11A4">
            <w:pPr>
              <w:spacing w:after="0"/>
              <w:ind w:left="-108"/>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28.0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396.0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31</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NS. I4 I</w:t>
            </w:r>
          </w:p>
        </w:tc>
        <w:tc>
          <w:tcPr>
            <w:tcW w:w="1410" w:type="dxa"/>
            <w:shd w:val="clear" w:color="auto" w:fill="auto"/>
            <w:noWrap/>
            <w:vAlign w:val="center"/>
            <w:hideMark/>
          </w:tcPr>
          <w:p w:rsidR="00562EFA" w:rsidRPr="00BC4597" w:rsidRDefault="00562EFA" w:rsidP="00FB11A4">
            <w:pPr>
              <w:spacing w:after="0"/>
              <w:ind w:left="-108"/>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22.0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162.0</w:t>
            </w:r>
          </w:p>
        </w:tc>
      </w:tr>
      <w:tr w:rsidR="00562EFA" w:rsidRPr="00BC4597" w:rsidTr="00FB11A4">
        <w:trPr>
          <w:trHeight w:val="20"/>
          <w:jc w:val="center"/>
        </w:trPr>
        <w:tc>
          <w:tcPr>
            <w:tcW w:w="452" w:type="dxa"/>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32</w:t>
            </w:r>
          </w:p>
        </w:tc>
        <w:tc>
          <w:tcPr>
            <w:tcW w:w="1257" w:type="dxa"/>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NS. 15 A </w:t>
            </w:r>
          </w:p>
        </w:tc>
        <w:tc>
          <w:tcPr>
            <w:tcW w:w="1410" w:type="dxa"/>
            <w:shd w:val="clear" w:color="auto" w:fill="auto"/>
            <w:noWrap/>
            <w:vAlign w:val="center"/>
            <w:hideMark/>
          </w:tcPr>
          <w:p w:rsidR="00562EFA" w:rsidRPr="00BC4597" w:rsidRDefault="00562EFA" w:rsidP="00FB11A4">
            <w:pPr>
              <w:spacing w:after="0"/>
              <w:ind w:left="-108"/>
              <w:rPr>
                <w:rFonts w:ascii="Times New Roman" w:eastAsia="Times New Roman" w:hAnsi="Times New Roman" w:cs="Times New Roman"/>
                <w:sz w:val="16"/>
                <w:szCs w:val="16"/>
                <w:lang w:eastAsia="id-ID"/>
              </w:rPr>
            </w:pPr>
          </w:p>
        </w:tc>
        <w:tc>
          <w:tcPr>
            <w:tcW w:w="1432" w:type="dxa"/>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24.0</w:t>
            </w:r>
          </w:p>
        </w:tc>
        <w:tc>
          <w:tcPr>
            <w:tcW w:w="1560" w:type="dxa"/>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28.0</w:t>
            </w:r>
          </w:p>
        </w:tc>
      </w:tr>
      <w:tr w:rsidR="00562EFA" w:rsidRPr="00BC4597" w:rsidTr="00FB11A4">
        <w:trPr>
          <w:trHeight w:val="20"/>
          <w:jc w:val="center"/>
        </w:trPr>
        <w:tc>
          <w:tcPr>
            <w:tcW w:w="452" w:type="dxa"/>
            <w:tcBorders>
              <w:bottom w:val="single" w:sz="4" w:space="0" w:color="auto"/>
            </w:tcBorders>
            <w:shd w:val="clear" w:color="auto" w:fill="auto"/>
            <w:noWrap/>
            <w:vAlign w:val="center"/>
            <w:hideMark/>
          </w:tcPr>
          <w:p w:rsidR="00562EFA" w:rsidRPr="00BC4597" w:rsidRDefault="00562EFA" w:rsidP="00FB11A4">
            <w:pPr>
              <w:spacing w:after="0"/>
              <w:jc w:val="center"/>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33</w:t>
            </w:r>
          </w:p>
        </w:tc>
        <w:tc>
          <w:tcPr>
            <w:tcW w:w="1257" w:type="dxa"/>
            <w:tcBorders>
              <w:bottom w:val="single" w:sz="4" w:space="0" w:color="auto"/>
            </w:tcBorders>
            <w:shd w:val="clear" w:color="auto" w:fill="auto"/>
            <w:noWrap/>
            <w:vAlign w:val="bottom"/>
            <w:hideMark/>
          </w:tcPr>
          <w:p w:rsidR="00562EFA" w:rsidRPr="00BC4597" w:rsidRDefault="00562EFA" w:rsidP="00BC4597">
            <w:pPr>
              <w:spacing w:after="0"/>
              <w:ind w:left="-545" w:firstLineChars="400" w:firstLine="640"/>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xml:space="preserve">NS. 15 E </w:t>
            </w:r>
          </w:p>
        </w:tc>
        <w:tc>
          <w:tcPr>
            <w:tcW w:w="1410" w:type="dxa"/>
            <w:tcBorders>
              <w:bottom w:val="single" w:sz="4" w:space="0" w:color="auto"/>
            </w:tcBorders>
            <w:shd w:val="clear" w:color="auto" w:fill="auto"/>
            <w:noWrap/>
            <w:vAlign w:val="center"/>
            <w:hideMark/>
          </w:tcPr>
          <w:p w:rsidR="00562EFA" w:rsidRPr="00BC4597" w:rsidRDefault="00562EFA" w:rsidP="00FB11A4">
            <w:pPr>
              <w:spacing w:after="0"/>
              <w:ind w:left="-108"/>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 </w:t>
            </w:r>
          </w:p>
        </w:tc>
        <w:tc>
          <w:tcPr>
            <w:tcW w:w="1432" w:type="dxa"/>
            <w:tcBorders>
              <w:bottom w:val="single" w:sz="4" w:space="0" w:color="auto"/>
            </w:tcBorders>
            <w:shd w:val="clear" w:color="auto" w:fill="auto"/>
            <w:noWrap/>
            <w:vAlign w:val="center"/>
            <w:hideMark/>
          </w:tcPr>
          <w:p w:rsidR="00562EFA" w:rsidRPr="00BC4597" w:rsidRDefault="00562EFA" w:rsidP="00BC4597">
            <w:pPr>
              <w:spacing w:after="0"/>
              <w:ind w:left="-4629" w:right="317"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22.0</w:t>
            </w:r>
          </w:p>
        </w:tc>
        <w:tc>
          <w:tcPr>
            <w:tcW w:w="1560" w:type="dxa"/>
            <w:tcBorders>
              <w:bottom w:val="single" w:sz="4" w:space="0" w:color="auto"/>
            </w:tcBorders>
            <w:shd w:val="clear" w:color="auto" w:fill="auto"/>
            <w:noWrap/>
            <w:vAlign w:val="bottom"/>
            <w:hideMark/>
          </w:tcPr>
          <w:p w:rsidR="00562EFA" w:rsidRPr="00BC4597" w:rsidRDefault="00562EFA" w:rsidP="00BC4597">
            <w:pPr>
              <w:spacing w:after="0"/>
              <w:ind w:left="-6062" w:right="318" w:firstLineChars="500" w:firstLine="800"/>
              <w:jc w:val="right"/>
              <w:rPr>
                <w:rFonts w:ascii="Times New Roman" w:eastAsia="Times New Roman" w:hAnsi="Times New Roman" w:cs="Times New Roman"/>
                <w:sz w:val="16"/>
                <w:szCs w:val="16"/>
                <w:lang w:eastAsia="id-ID"/>
              </w:rPr>
            </w:pPr>
            <w:r w:rsidRPr="00BC4597">
              <w:rPr>
                <w:rFonts w:ascii="Times New Roman" w:eastAsia="Times New Roman" w:hAnsi="Times New Roman" w:cs="Times New Roman"/>
                <w:sz w:val="16"/>
                <w:szCs w:val="16"/>
                <w:lang w:eastAsia="id-ID"/>
              </w:rPr>
              <w:t>38.0</w:t>
            </w:r>
          </w:p>
        </w:tc>
      </w:tr>
    </w:tbl>
    <w:p w:rsidR="00562EFA" w:rsidRPr="005D4961" w:rsidRDefault="00562EFA" w:rsidP="00562EFA">
      <w:pPr>
        <w:spacing w:after="0"/>
        <w:jc w:val="both"/>
        <w:rPr>
          <w:rFonts w:ascii="Times New Roman" w:hAnsi="Times New Roman" w:cs="Times New Roman"/>
          <w:sz w:val="20"/>
          <w:szCs w:val="20"/>
        </w:rPr>
      </w:pPr>
    </w:p>
    <w:p w:rsidR="00562EFA" w:rsidRPr="005D4961" w:rsidRDefault="00562EFA" w:rsidP="003B7B4A">
      <w:pPr>
        <w:widowControl w:val="0"/>
        <w:autoSpaceDE w:val="0"/>
        <w:autoSpaceDN w:val="0"/>
        <w:spacing w:after="0"/>
        <w:ind w:right="72" w:firstLine="567"/>
        <w:jc w:val="both"/>
        <w:rPr>
          <w:rFonts w:ascii="Times New Roman" w:hAnsi="Times New Roman" w:cs="Times New Roman"/>
          <w:sz w:val="20"/>
          <w:szCs w:val="20"/>
        </w:rPr>
      </w:pPr>
    </w:p>
    <w:p w:rsidR="003B7B4A" w:rsidRPr="005D4961" w:rsidRDefault="003B7B4A" w:rsidP="00F81C27">
      <w:pPr>
        <w:spacing w:after="0"/>
        <w:ind w:firstLine="567"/>
        <w:jc w:val="both"/>
        <w:rPr>
          <w:rFonts w:ascii="Times New Roman" w:hAnsi="Times New Roman" w:cs="Times New Roman"/>
          <w:sz w:val="20"/>
          <w:szCs w:val="20"/>
        </w:rPr>
      </w:pPr>
    </w:p>
    <w:p w:rsidR="00F81C27" w:rsidRPr="00BC4597" w:rsidRDefault="00F81C27" w:rsidP="00F81C27">
      <w:pPr>
        <w:spacing w:after="0"/>
        <w:rPr>
          <w:rFonts w:ascii="Times New Roman" w:hAnsi="Times New Roman" w:cs="Times New Roman"/>
          <w:i/>
          <w:sz w:val="24"/>
          <w:szCs w:val="24"/>
        </w:rPr>
      </w:pPr>
      <w:r w:rsidRPr="00BC4597">
        <w:rPr>
          <w:rFonts w:ascii="Times New Roman" w:hAnsi="Times New Roman" w:cs="Times New Roman"/>
          <w:i/>
          <w:sz w:val="24"/>
          <w:szCs w:val="24"/>
        </w:rPr>
        <w:t>Petrographic Analysis</w:t>
      </w:r>
    </w:p>
    <w:p w:rsidR="00F81C27" w:rsidRPr="00BC4597" w:rsidRDefault="00F81C27" w:rsidP="00F81C27">
      <w:pPr>
        <w:spacing w:after="0"/>
        <w:jc w:val="both"/>
        <w:rPr>
          <w:rFonts w:ascii="Times New Roman" w:hAnsi="Times New Roman" w:cs="Times New Roman"/>
          <w:sz w:val="24"/>
          <w:szCs w:val="24"/>
        </w:rPr>
      </w:pPr>
      <w:r w:rsidRPr="00BC4597">
        <w:rPr>
          <w:rFonts w:ascii="Times New Roman" w:hAnsi="Times New Roman" w:cs="Times New Roman"/>
          <w:sz w:val="24"/>
          <w:szCs w:val="24"/>
        </w:rPr>
        <w:lastRenderedPageBreak/>
        <w:t>Organic petrology result presented in Table 3 shows the maceral composition of DOM and its mineral matter content of both the Sangkarewangand Kiliran Formation</w:t>
      </w:r>
      <w:r w:rsidR="00562EFA" w:rsidRPr="00BC4597">
        <w:rPr>
          <w:rFonts w:ascii="Times New Roman" w:hAnsi="Times New Roman" w:cs="Times New Roman"/>
          <w:sz w:val="24"/>
          <w:szCs w:val="24"/>
        </w:rPr>
        <w:t>s, and also Sawahlunto Formation</w:t>
      </w:r>
      <w:r w:rsidRPr="00BC4597">
        <w:rPr>
          <w:rFonts w:ascii="Times New Roman" w:hAnsi="Times New Roman" w:cs="Times New Roman"/>
          <w:sz w:val="24"/>
          <w:szCs w:val="24"/>
        </w:rPr>
        <w:t xml:space="preserve">. </w:t>
      </w:r>
    </w:p>
    <w:p w:rsidR="00514968" w:rsidRDefault="00F81C27" w:rsidP="00BC4597">
      <w:pPr>
        <w:spacing w:after="120"/>
        <w:ind w:firstLine="567"/>
        <w:jc w:val="both"/>
        <w:rPr>
          <w:rFonts w:ascii="Times New Roman" w:hAnsi="Times New Roman" w:cs="Times New Roman"/>
          <w:sz w:val="24"/>
          <w:szCs w:val="24"/>
        </w:rPr>
      </w:pPr>
      <w:r w:rsidRPr="00BC4597">
        <w:rPr>
          <w:rFonts w:ascii="Times New Roman" w:hAnsi="Times New Roman" w:cs="Times New Roman"/>
          <w:sz w:val="24"/>
          <w:szCs w:val="24"/>
        </w:rPr>
        <w:t xml:space="preserve">In </w:t>
      </w:r>
      <w:r w:rsidR="003B7B4A" w:rsidRPr="00BC4597">
        <w:rPr>
          <w:rFonts w:ascii="Times New Roman" w:hAnsi="Times New Roman" w:cs="Times New Roman"/>
          <w:sz w:val="24"/>
          <w:szCs w:val="24"/>
        </w:rPr>
        <w:t>Talawi</w:t>
      </w:r>
      <w:r w:rsidR="00562EFA" w:rsidRPr="00BC4597">
        <w:rPr>
          <w:rFonts w:ascii="Times New Roman" w:hAnsi="Times New Roman" w:cs="Times New Roman"/>
          <w:sz w:val="24"/>
          <w:szCs w:val="24"/>
        </w:rPr>
        <w:t xml:space="preserve"> and Lubuktaruk a</w:t>
      </w:r>
      <w:r w:rsidRPr="00BC4597">
        <w:rPr>
          <w:rFonts w:ascii="Times New Roman" w:hAnsi="Times New Roman" w:cs="Times New Roman"/>
          <w:sz w:val="24"/>
          <w:szCs w:val="24"/>
        </w:rPr>
        <w:t>reas, petrographically, the maceral compos</w:t>
      </w:r>
      <w:r w:rsidR="00E46A4E" w:rsidRPr="00BC4597">
        <w:rPr>
          <w:rFonts w:ascii="Times New Roman" w:hAnsi="Times New Roman" w:cs="Times New Roman"/>
          <w:sz w:val="24"/>
          <w:szCs w:val="24"/>
        </w:rPr>
        <w:t xml:space="preserve">ition of Sangkarewang Formation </w:t>
      </w:r>
      <w:r w:rsidRPr="00BC4597">
        <w:rPr>
          <w:rFonts w:ascii="Times New Roman" w:hAnsi="Times New Roman" w:cs="Times New Roman"/>
          <w:sz w:val="24"/>
          <w:szCs w:val="24"/>
        </w:rPr>
        <w:t xml:space="preserve">determined  on </w:t>
      </w:r>
      <w:r w:rsidR="003B7B4A" w:rsidRPr="00BC4597">
        <w:rPr>
          <w:rFonts w:ascii="Times New Roman" w:hAnsi="Times New Roman" w:cs="Times New Roman"/>
          <w:sz w:val="24"/>
          <w:szCs w:val="24"/>
        </w:rPr>
        <w:t>twenty four</w:t>
      </w:r>
      <w:r w:rsidRPr="00BC4597">
        <w:rPr>
          <w:rFonts w:ascii="Times New Roman" w:hAnsi="Times New Roman" w:cs="Times New Roman"/>
          <w:sz w:val="24"/>
          <w:szCs w:val="24"/>
        </w:rPr>
        <w:t xml:space="preserve"> selected samples (Table 3) is dominated by exinite group (0.1 - 55 %) comprising lamalginite </w:t>
      </w:r>
      <w:r w:rsidR="00562EFA" w:rsidRPr="00BC4597">
        <w:rPr>
          <w:rFonts w:ascii="Times New Roman" w:hAnsi="Times New Roman" w:cs="Times New Roman"/>
          <w:sz w:val="24"/>
          <w:szCs w:val="24"/>
        </w:rPr>
        <w:t xml:space="preserve">of  0.1 - 55 %, with minor </w:t>
      </w:r>
      <w:r w:rsidR="00562EFA" w:rsidRPr="00BC4597">
        <w:rPr>
          <w:rFonts w:ascii="Times New Roman" w:hAnsi="Times New Roman" w:cs="Times New Roman"/>
          <w:i/>
          <w:sz w:val="24"/>
          <w:szCs w:val="24"/>
        </w:rPr>
        <w:t>Botryococcus</w:t>
      </w:r>
      <w:r w:rsidR="00562EFA" w:rsidRPr="00BC4597">
        <w:rPr>
          <w:rFonts w:ascii="Times New Roman" w:hAnsi="Times New Roman" w:cs="Times New Roman"/>
          <w:sz w:val="24"/>
          <w:szCs w:val="24"/>
        </w:rPr>
        <w:t xml:space="preserve">-telalginite (0.1 %), cutinite (1.0 - 2.9%), resinite (0.2%), </w:t>
      </w:r>
    </w:p>
    <w:p w:rsidR="00BC4597" w:rsidRPr="00BC4597" w:rsidRDefault="00BC4597" w:rsidP="00E46A4E">
      <w:pPr>
        <w:spacing w:after="120"/>
        <w:ind w:firstLine="567"/>
        <w:jc w:val="center"/>
        <w:rPr>
          <w:rFonts w:ascii="Times New Roman" w:hAnsi="Times New Roman" w:cs="Times New Roman"/>
          <w:sz w:val="24"/>
          <w:szCs w:val="24"/>
        </w:rPr>
      </w:pPr>
    </w:p>
    <w:p w:rsidR="00514968" w:rsidRPr="00BC4597" w:rsidRDefault="00514968" w:rsidP="00514968">
      <w:pPr>
        <w:spacing w:after="120"/>
        <w:jc w:val="center"/>
        <w:rPr>
          <w:rFonts w:ascii="Times New Roman" w:hAnsi="Times New Roman" w:cs="Times New Roman"/>
        </w:rPr>
      </w:pPr>
      <w:r w:rsidRPr="00BC4597">
        <w:rPr>
          <w:rFonts w:ascii="Times New Roman" w:hAnsi="Times New Roman" w:cs="Times New Roman"/>
        </w:rPr>
        <w:t>Table 3. Maceral and Mineral  Matter Composition and Vitrinite Reflectance of the Sangkarewang and Kiliran Oil Shale</w:t>
      </w:r>
      <w:r w:rsidR="00BC4597">
        <w:rPr>
          <w:rFonts w:ascii="Times New Roman" w:hAnsi="Times New Roman" w:cs="Times New Roman"/>
        </w:rPr>
        <w:t xml:space="preserve"> (Suwarna et al., 2000 and 2001)</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92"/>
        <w:gridCol w:w="856"/>
        <w:gridCol w:w="952"/>
        <w:gridCol w:w="743"/>
        <w:gridCol w:w="655"/>
        <w:gridCol w:w="540"/>
        <w:gridCol w:w="550"/>
        <w:gridCol w:w="531"/>
        <w:gridCol w:w="546"/>
        <w:gridCol w:w="630"/>
        <w:gridCol w:w="588"/>
        <w:gridCol w:w="639"/>
        <w:gridCol w:w="574"/>
        <w:gridCol w:w="593"/>
        <w:gridCol w:w="675"/>
      </w:tblGrid>
      <w:tr w:rsidR="00514968" w:rsidRPr="005D4961" w:rsidTr="00FB11A4">
        <w:tc>
          <w:tcPr>
            <w:tcW w:w="392" w:type="dxa"/>
            <w:tcBorders>
              <w:top w:val="single" w:sz="4" w:space="0" w:color="auto"/>
            </w:tcBorders>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No.</w:t>
            </w:r>
          </w:p>
        </w:tc>
        <w:tc>
          <w:tcPr>
            <w:tcW w:w="856" w:type="dxa"/>
            <w:tcBorders>
              <w:top w:val="single" w:sz="4" w:space="0" w:color="auto"/>
            </w:tcBorders>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Sample Code</w:t>
            </w:r>
          </w:p>
        </w:tc>
        <w:tc>
          <w:tcPr>
            <w:tcW w:w="952" w:type="dxa"/>
            <w:tcBorders>
              <w:top w:val="single" w:sz="4" w:space="0" w:color="auto"/>
            </w:tcBorders>
            <w:vAlign w:val="center"/>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Lithology</w:t>
            </w:r>
          </w:p>
        </w:tc>
        <w:tc>
          <w:tcPr>
            <w:tcW w:w="743" w:type="dxa"/>
            <w:tcBorders>
              <w:top w:val="single" w:sz="4" w:space="0" w:color="auto"/>
            </w:tcBorders>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Area/</w:t>
            </w:r>
          </w:p>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Basin</w:t>
            </w:r>
          </w:p>
        </w:tc>
        <w:tc>
          <w:tcPr>
            <w:tcW w:w="655" w:type="dxa"/>
            <w:tcBorders>
              <w:top w:val="single" w:sz="4" w:space="0" w:color="auto"/>
              <w:bottom w:val="single" w:sz="4" w:space="0" w:color="auto"/>
            </w:tcBorders>
            <w:vAlign w:val="center"/>
          </w:tcPr>
          <w:p w:rsidR="00514968" w:rsidRPr="005D4961" w:rsidRDefault="00514968" w:rsidP="00FB11A4">
            <w:pPr>
              <w:jc w:val="center"/>
              <w:rPr>
                <w:rFonts w:ascii="Times New Roman" w:hAnsi="Times New Roman" w:cs="Times New Roman"/>
                <w:sz w:val="16"/>
                <w:szCs w:val="16"/>
              </w:rPr>
            </w:pPr>
          </w:p>
        </w:tc>
        <w:tc>
          <w:tcPr>
            <w:tcW w:w="540" w:type="dxa"/>
            <w:tcBorders>
              <w:top w:val="single" w:sz="4" w:space="0" w:color="auto"/>
              <w:bottom w:val="single" w:sz="4" w:space="0" w:color="auto"/>
            </w:tcBorders>
            <w:vAlign w:val="center"/>
          </w:tcPr>
          <w:p w:rsidR="00514968" w:rsidRPr="005D4961" w:rsidRDefault="00514968" w:rsidP="00FB11A4">
            <w:pPr>
              <w:jc w:val="center"/>
              <w:rPr>
                <w:rFonts w:ascii="Times New Roman" w:hAnsi="Times New Roman" w:cs="Times New Roman"/>
                <w:sz w:val="16"/>
                <w:szCs w:val="16"/>
              </w:rPr>
            </w:pPr>
          </w:p>
        </w:tc>
        <w:tc>
          <w:tcPr>
            <w:tcW w:w="550" w:type="dxa"/>
            <w:tcBorders>
              <w:top w:val="single" w:sz="4" w:space="0" w:color="auto"/>
              <w:bottom w:val="single" w:sz="4" w:space="0" w:color="auto"/>
            </w:tcBorders>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E</w:t>
            </w:r>
          </w:p>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Borders>
              <w:top w:val="single" w:sz="4" w:space="0" w:color="auto"/>
              <w:bottom w:val="single" w:sz="4" w:space="0" w:color="auto"/>
            </w:tcBorders>
            <w:vAlign w:val="center"/>
          </w:tcPr>
          <w:p w:rsidR="00514968" w:rsidRPr="005D4961" w:rsidRDefault="00514968" w:rsidP="00FB11A4">
            <w:pPr>
              <w:jc w:val="center"/>
              <w:rPr>
                <w:rFonts w:ascii="Times New Roman" w:hAnsi="Times New Roman" w:cs="Times New Roman"/>
                <w:sz w:val="16"/>
                <w:szCs w:val="16"/>
              </w:rPr>
            </w:pPr>
          </w:p>
        </w:tc>
        <w:tc>
          <w:tcPr>
            <w:tcW w:w="546" w:type="dxa"/>
            <w:tcBorders>
              <w:top w:val="single" w:sz="4" w:space="0" w:color="auto"/>
              <w:bottom w:val="single" w:sz="4" w:space="0" w:color="auto"/>
            </w:tcBorders>
            <w:vAlign w:val="center"/>
          </w:tcPr>
          <w:p w:rsidR="00514968" w:rsidRPr="005D4961" w:rsidRDefault="00514968" w:rsidP="00FB11A4">
            <w:pPr>
              <w:jc w:val="center"/>
              <w:rPr>
                <w:rFonts w:ascii="Times New Roman" w:hAnsi="Times New Roman" w:cs="Times New Roman"/>
                <w:sz w:val="16"/>
                <w:szCs w:val="16"/>
              </w:rPr>
            </w:pPr>
          </w:p>
        </w:tc>
        <w:tc>
          <w:tcPr>
            <w:tcW w:w="630" w:type="dxa"/>
            <w:tcBorders>
              <w:top w:val="single" w:sz="4" w:space="0" w:color="auto"/>
              <w:bottom w:val="single" w:sz="4" w:space="0" w:color="auto"/>
            </w:tcBorders>
            <w:vAlign w:val="center"/>
          </w:tcPr>
          <w:p w:rsidR="00514968" w:rsidRPr="005D4961" w:rsidRDefault="00514968" w:rsidP="00FB11A4">
            <w:pPr>
              <w:jc w:val="center"/>
              <w:rPr>
                <w:rFonts w:ascii="Times New Roman" w:hAnsi="Times New Roman" w:cs="Times New Roman"/>
                <w:sz w:val="16"/>
                <w:szCs w:val="16"/>
              </w:rPr>
            </w:pPr>
          </w:p>
        </w:tc>
        <w:tc>
          <w:tcPr>
            <w:tcW w:w="588" w:type="dxa"/>
            <w:tcBorders>
              <w:top w:val="single" w:sz="4" w:space="0" w:color="auto"/>
              <w:bottom w:val="single" w:sz="4" w:space="0" w:color="auto"/>
            </w:tcBorders>
            <w:vAlign w:val="center"/>
          </w:tcPr>
          <w:p w:rsidR="00514968" w:rsidRPr="005D4961" w:rsidRDefault="00514968" w:rsidP="00FB11A4">
            <w:pPr>
              <w:jc w:val="center"/>
              <w:rPr>
                <w:rFonts w:ascii="Times New Roman" w:hAnsi="Times New Roman" w:cs="Times New Roman"/>
                <w:sz w:val="16"/>
                <w:szCs w:val="16"/>
              </w:rPr>
            </w:pPr>
          </w:p>
        </w:tc>
        <w:tc>
          <w:tcPr>
            <w:tcW w:w="639" w:type="dxa"/>
            <w:tcBorders>
              <w:top w:val="single" w:sz="4" w:space="0" w:color="auto"/>
            </w:tcBorders>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V</w:t>
            </w:r>
          </w:p>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w:t>
            </w:r>
          </w:p>
        </w:tc>
        <w:tc>
          <w:tcPr>
            <w:tcW w:w="574" w:type="dxa"/>
            <w:tcBorders>
              <w:top w:val="single" w:sz="4" w:space="0" w:color="auto"/>
            </w:tcBorders>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Rv</w:t>
            </w:r>
          </w:p>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w:t>
            </w:r>
          </w:p>
        </w:tc>
        <w:tc>
          <w:tcPr>
            <w:tcW w:w="593" w:type="dxa"/>
            <w:tcBorders>
              <w:top w:val="single" w:sz="4" w:space="0" w:color="auto"/>
            </w:tcBorders>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Py</w:t>
            </w:r>
          </w:p>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w:t>
            </w:r>
          </w:p>
        </w:tc>
        <w:tc>
          <w:tcPr>
            <w:tcW w:w="675" w:type="dxa"/>
            <w:tcBorders>
              <w:top w:val="single" w:sz="4" w:space="0" w:color="auto"/>
            </w:tcBorders>
            <w:vAlign w:val="center"/>
          </w:tcPr>
          <w:p w:rsidR="00514968" w:rsidRPr="005D4961" w:rsidRDefault="00514968" w:rsidP="00FB11A4">
            <w:pPr>
              <w:jc w:val="center"/>
              <w:rPr>
                <w:rFonts w:ascii="Times New Roman" w:hAnsi="Times New Roman" w:cs="Times New Roman"/>
                <w:sz w:val="16"/>
                <w:szCs w:val="16"/>
              </w:rPr>
            </w:pPr>
            <w:r>
              <w:rPr>
                <w:rFonts w:ascii="Times New Roman" w:hAnsi="Times New Roman" w:cs="Times New Roman"/>
                <w:sz w:val="16"/>
                <w:szCs w:val="16"/>
              </w:rPr>
              <w:t>Others</w:t>
            </w:r>
          </w:p>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w:t>
            </w:r>
          </w:p>
        </w:tc>
      </w:tr>
      <w:tr w:rsidR="00514968" w:rsidRPr="005D4961" w:rsidTr="00FB11A4">
        <w:tc>
          <w:tcPr>
            <w:tcW w:w="392" w:type="dxa"/>
            <w:tcBorders>
              <w:bottom w:val="single" w:sz="4" w:space="0" w:color="auto"/>
            </w:tcBorders>
            <w:vAlign w:val="center"/>
          </w:tcPr>
          <w:p w:rsidR="00514968" w:rsidRPr="005D4961" w:rsidRDefault="00514968" w:rsidP="00FB11A4">
            <w:pPr>
              <w:jc w:val="center"/>
              <w:rPr>
                <w:rFonts w:ascii="Times New Roman" w:hAnsi="Times New Roman" w:cs="Times New Roman"/>
                <w:b/>
                <w:sz w:val="16"/>
                <w:szCs w:val="16"/>
              </w:rPr>
            </w:pPr>
          </w:p>
        </w:tc>
        <w:tc>
          <w:tcPr>
            <w:tcW w:w="856" w:type="dxa"/>
            <w:tcBorders>
              <w:bottom w:val="single" w:sz="4" w:space="0" w:color="auto"/>
            </w:tcBorders>
            <w:vAlign w:val="center"/>
          </w:tcPr>
          <w:p w:rsidR="00514968" w:rsidRPr="005D4961" w:rsidRDefault="00514968" w:rsidP="00FB11A4">
            <w:pPr>
              <w:jc w:val="center"/>
              <w:rPr>
                <w:rFonts w:ascii="Times New Roman" w:hAnsi="Times New Roman" w:cs="Times New Roman"/>
                <w:b/>
                <w:sz w:val="16"/>
                <w:szCs w:val="16"/>
              </w:rPr>
            </w:pPr>
          </w:p>
        </w:tc>
        <w:tc>
          <w:tcPr>
            <w:tcW w:w="952" w:type="dxa"/>
            <w:tcBorders>
              <w:bottom w:val="single" w:sz="4" w:space="0" w:color="auto"/>
            </w:tcBorders>
            <w:vAlign w:val="center"/>
          </w:tcPr>
          <w:p w:rsidR="00514968" w:rsidRPr="005D4961" w:rsidRDefault="00514968" w:rsidP="00FB11A4">
            <w:pPr>
              <w:jc w:val="center"/>
              <w:rPr>
                <w:rFonts w:ascii="Times New Roman" w:hAnsi="Times New Roman" w:cs="Times New Roman"/>
                <w:b/>
                <w:sz w:val="16"/>
                <w:szCs w:val="16"/>
              </w:rPr>
            </w:pPr>
          </w:p>
        </w:tc>
        <w:tc>
          <w:tcPr>
            <w:tcW w:w="743" w:type="dxa"/>
            <w:tcBorders>
              <w:bottom w:val="single" w:sz="4" w:space="0" w:color="auto"/>
            </w:tcBorders>
            <w:vAlign w:val="center"/>
          </w:tcPr>
          <w:p w:rsidR="00514968" w:rsidRPr="005D4961" w:rsidRDefault="00514968" w:rsidP="00FB11A4">
            <w:pPr>
              <w:jc w:val="center"/>
              <w:rPr>
                <w:rFonts w:ascii="Times New Roman" w:hAnsi="Times New Roman" w:cs="Times New Roman"/>
                <w:b/>
                <w:sz w:val="16"/>
                <w:szCs w:val="16"/>
              </w:rPr>
            </w:pPr>
          </w:p>
        </w:tc>
        <w:tc>
          <w:tcPr>
            <w:tcW w:w="655" w:type="dxa"/>
            <w:tcBorders>
              <w:top w:val="single" w:sz="4" w:space="0" w:color="auto"/>
              <w:bottom w:val="single" w:sz="4" w:space="0" w:color="auto"/>
            </w:tcBorders>
            <w:shd w:val="clear" w:color="auto" w:fill="auto"/>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Lam</w:t>
            </w:r>
          </w:p>
        </w:tc>
        <w:tc>
          <w:tcPr>
            <w:tcW w:w="540" w:type="dxa"/>
            <w:tcBorders>
              <w:top w:val="single" w:sz="4" w:space="0" w:color="auto"/>
              <w:bottom w:val="single" w:sz="4" w:space="0" w:color="auto"/>
            </w:tcBorders>
            <w:shd w:val="clear" w:color="auto" w:fill="auto"/>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Tel</w:t>
            </w:r>
          </w:p>
        </w:tc>
        <w:tc>
          <w:tcPr>
            <w:tcW w:w="550" w:type="dxa"/>
            <w:tcBorders>
              <w:top w:val="single" w:sz="4" w:space="0" w:color="auto"/>
              <w:bottom w:val="single" w:sz="4" w:space="0" w:color="auto"/>
            </w:tcBorders>
            <w:shd w:val="clear" w:color="auto" w:fill="auto"/>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Cut</w:t>
            </w:r>
          </w:p>
        </w:tc>
        <w:tc>
          <w:tcPr>
            <w:tcW w:w="531" w:type="dxa"/>
            <w:tcBorders>
              <w:top w:val="single" w:sz="4" w:space="0" w:color="auto"/>
              <w:bottom w:val="single" w:sz="4" w:space="0" w:color="auto"/>
            </w:tcBorders>
            <w:shd w:val="clear" w:color="auto" w:fill="auto"/>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Sp</w:t>
            </w:r>
          </w:p>
        </w:tc>
        <w:tc>
          <w:tcPr>
            <w:tcW w:w="546" w:type="dxa"/>
            <w:tcBorders>
              <w:top w:val="single" w:sz="4" w:space="0" w:color="auto"/>
              <w:bottom w:val="single" w:sz="4" w:space="0" w:color="auto"/>
            </w:tcBorders>
            <w:shd w:val="clear" w:color="auto" w:fill="auto"/>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Lpt</w:t>
            </w:r>
          </w:p>
        </w:tc>
        <w:tc>
          <w:tcPr>
            <w:tcW w:w="630" w:type="dxa"/>
            <w:tcBorders>
              <w:top w:val="single" w:sz="4" w:space="0" w:color="auto"/>
              <w:bottom w:val="single" w:sz="4" w:space="0" w:color="auto"/>
            </w:tcBorders>
            <w:shd w:val="clear" w:color="auto" w:fill="auto"/>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Res</w:t>
            </w:r>
          </w:p>
        </w:tc>
        <w:tc>
          <w:tcPr>
            <w:tcW w:w="588" w:type="dxa"/>
            <w:tcBorders>
              <w:top w:val="single" w:sz="4" w:space="0" w:color="auto"/>
              <w:bottom w:val="single" w:sz="4" w:space="0" w:color="auto"/>
            </w:tcBorders>
            <w:shd w:val="clear" w:color="auto" w:fill="auto"/>
            <w:vAlign w:val="center"/>
          </w:tcPr>
          <w:p w:rsidR="00514968" w:rsidRPr="005D4961" w:rsidRDefault="00514968" w:rsidP="00FB11A4">
            <w:pPr>
              <w:jc w:val="center"/>
              <w:rPr>
                <w:rFonts w:ascii="Times New Roman" w:hAnsi="Times New Roman" w:cs="Times New Roman"/>
                <w:sz w:val="16"/>
                <w:szCs w:val="16"/>
              </w:rPr>
            </w:pPr>
            <w:r w:rsidRPr="005D4961">
              <w:rPr>
                <w:rFonts w:ascii="Times New Roman" w:hAnsi="Times New Roman" w:cs="Times New Roman"/>
                <w:sz w:val="16"/>
                <w:szCs w:val="16"/>
              </w:rPr>
              <w:t>Bitu</w:t>
            </w:r>
          </w:p>
        </w:tc>
        <w:tc>
          <w:tcPr>
            <w:tcW w:w="639" w:type="dxa"/>
            <w:tcBorders>
              <w:bottom w:val="single" w:sz="4" w:space="0" w:color="auto"/>
            </w:tcBorders>
            <w:vAlign w:val="center"/>
          </w:tcPr>
          <w:p w:rsidR="00514968" w:rsidRPr="005D4961" w:rsidRDefault="00514968" w:rsidP="00FB11A4">
            <w:pPr>
              <w:tabs>
                <w:tab w:val="left" w:pos="255"/>
              </w:tabs>
              <w:ind w:left="-7966" w:right="26"/>
              <w:jc w:val="center"/>
              <w:rPr>
                <w:rFonts w:ascii="Times New Roman" w:hAnsi="Times New Roman" w:cs="Times New Roman"/>
                <w:b/>
                <w:sz w:val="16"/>
                <w:szCs w:val="16"/>
              </w:rPr>
            </w:pPr>
          </w:p>
        </w:tc>
        <w:tc>
          <w:tcPr>
            <w:tcW w:w="574" w:type="dxa"/>
            <w:tcBorders>
              <w:bottom w:val="single" w:sz="4" w:space="0" w:color="auto"/>
            </w:tcBorders>
            <w:vAlign w:val="center"/>
          </w:tcPr>
          <w:p w:rsidR="00514968" w:rsidRPr="005D4961" w:rsidRDefault="00514968" w:rsidP="00FB11A4">
            <w:pPr>
              <w:jc w:val="center"/>
              <w:rPr>
                <w:rFonts w:ascii="Times New Roman" w:hAnsi="Times New Roman" w:cs="Times New Roman"/>
                <w:b/>
                <w:sz w:val="16"/>
                <w:szCs w:val="16"/>
              </w:rPr>
            </w:pPr>
          </w:p>
        </w:tc>
        <w:tc>
          <w:tcPr>
            <w:tcW w:w="593" w:type="dxa"/>
            <w:tcBorders>
              <w:bottom w:val="single" w:sz="4" w:space="0" w:color="auto"/>
            </w:tcBorders>
            <w:vAlign w:val="center"/>
          </w:tcPr>
          <w:p w:rsidR="00514968" w:rsidRPr="005D4961" w:rsidRDefault="00514968" w:rsidP="00FB11A4">
            <w:pPr>
              <w:jc w:val="center"/>
              <w:rPr>
                <w:rFonts w:ascii="Times New Roman" w:hAnsi="Times New Roman" w:cs="Times New Roman"/>
                <w:b/>
                <w:sz w:val="16"/>
                <w:szCs w:val="16"/>
              </w:rPr>
            </w:pPr>
          </w:p>
        </w:tc>
        <w:tc>
          <w:tcPr>
            <w:tcW w:w="675" w:type="dxa"/>
            <w:tcBorders>
              <w:bottom w:val="single" w:sz="4" w:space="0" w:color="auto"/>
            </w:tcBorders>
            <w:vAlign w:val="center"/>
          </w:tcPr>
          <w:p w:rsidR="00514968" w:rsidRPr="005D4961" w:rsidRDefault="00514968" w:rsidP="00FB11A4">
            <w:pPr>
              <w:jc w:val="center"/>
              <w:rPr>
                <w:rFonts w:ascii="Times New Roman" w:hAnsi="Times New Roman" w:cs="Times New Roman"/>
                <w:b/>
                <w:sz w:val="16"/>
                <w:szCs w:val="16"/>
              </w:rPr>
            </w:pPr>
          </w:p>
        </w:tc>
      </w:tr>
      <w:tr w:rsidR="00514968" w:rsidRPr="005D4961" w:rsidTr="00FB11A4">
        <w:tc>
          <w:tcPr>
            <w:tcW w:w="392" w:type="dxa"/>
            <w:tcBorders>
              <w:top w:val="single" w:sz="4" w:space="0" w:color="auto"/>
            </w:tcBorders>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w:t>
            </w:r>
          </w:p>
        </w:tc>
        <w:tc>
          <w:tcPr>
            <w:tcW w:w="856" w:type="dxa"/>
            <w:tcBorders>
              <w:top w:val="single" w:sz="4" w:space="0" w:color="auto"/>
            </w:tcBorders>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HR.03B</w:t>
            </w:r>
          </w:p>
        </w:tc>
        <w:tc>
          <w:tcPr>
            <w:tcW w:w="952" w:type="dxa"/>
            <w:tcBorders>
              <w:top w:val="single" w:sz="4" w:space="0" w:color="auto"/>
            </w:tcBorders>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Shaly Coal</w:t>
            </w:r>
          </w:p>
        </w:tc>
        <w:tc>
          <w:tcPr>
            <w:tcW w:w="743" w:type="dxa"/>
            <w:tcBorders>
              <w:top w:val="single" w:sz="4" w:space="0" w:color="auto"/>
            </w:tcBorders>
          </w:tcPr>
          <w:p w:rsidR="00514968" w:rsidRPr="005D4961" w:rsidRDefault="00514968" w:rsidP="00FB11A4">
            <w:pPr>
              <w:ind w:left="-73"/>
              <w:rPr>
                <w:rFonts w:ascii="Times New Roman" w:hAnsi="Times New Roman" w:cs="Times New Roman"/>
                <w:sz w:val="16"/>
                <w:szCs w:val="16"/>
              </w:rPr>
            </w:pPr>
            <w:r w:rsidRPr="005D4961">
              <w:rPr>
                <w:rFonts w:ascii="Times New Roman" w:hAnsi="Times New Roman" w:cs="Times New Roman"/>
                <w:sz w:val="16"/>
                <w:szCs w:val="16"/>
              </w:rPr>
              <w:t>Ombilin</w:t>
            </w:r>
          </w:p>
        </w:tc>
        <w:tc>
          <w:tcPr>
            <w:tcW w:w="655" w:type="dxa"/>
            <w:tcBorders>
              <w:top w:val="single" w:sz="4" w:space="0" w:color="auto"/>
            </w:tcBorders>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540" w:type="dxa"/>
            <w:tcBorders>
              <w:top w:val="single" w:sz="4" w:space="0" w:color="auto"/>
            </w:tcBorders>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Borders>
              <w:top w:val="single" w:sz="4" w:space="0" w:color="auto"/>
            </w:tcBorders>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Borders>
              <w:top w:val="single" w:sz="4" w:space="0" w:color="auto"/>
            </w:tcBorders>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Borders>
              <w:top w:val="single" w:sz="4" w:space="0" w:color="auto"/>
            </w:tcBorders>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Borders>
              <w:top w:val="single" w:sz="4" w:space="0" w:color="auto"/>
            </w:tcBorders>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Borders>
              <w:top w:val="single" w:sz="4" w:space="0" w:color="auto"/>
            </w:tcBorders>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Borders>
              <w:top w:val="single" w:sz="4" w:space="0" w:color="auto"/>
            </w:tcBorders>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42.0</w:t>
            </w:r>
          </w:p>
        </w:tc>
        <w:tc>
          <w:tcPr>
            <w:tcW w:w="574" w:type="dxa"/>
            <w:tcBorders>
              <w:top w:val="single" w:sz="4" w:space="0" w:color="auto"/>
            </w:tcBorders>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0.22</w:t>
            </w:r>
          </w:p>
        </w:tc>
        <w:tc>
          <w:tcPr>
            <w:tcW w:w="593" w:type="dxa"/>
            <w:tcBorders>
              <w:top w:val="single" w:sz="4" w:space="0" w:color="auto"/>
            </w:tcBorders>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675" w:type="dxa"/>
            <w:tcBorders>
              <w:top w:val="single" w:sz="4" w:space="0" w:color="auto"/>
            </w:tcBorders>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56.7</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HR.01E</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0.23</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4.0</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95.8</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3.</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NS.01B</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0.27</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99.4</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4.</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NS.03A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0.24</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99.5</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5.</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NS.05A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2.0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2.9</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0.28</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92.3</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6.</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NS.05E</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Sandstone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0.38</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99.6</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7.</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NS.05G</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jc w:val="center"/>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2.5</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1.2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0.37</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96.0</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8.</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NS.05J</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0.21</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5.0</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93.9</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9.</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NS.06A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25.0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0.25</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4.8</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70.1</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NS.07A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5.0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2.0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0.22</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5.2</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87.8</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11.</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NS.08A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Sandstone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0.32</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99.7</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12.</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NS.08G</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55.0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6.0</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37.9</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13.</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NS.08L</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&gt;55.0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0.19</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5.8</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&lt;39.1</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14.</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NS.10A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43.0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2.0</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0.19</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6.6</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48.3</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15.</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NS.10G</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0.6</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0.24</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97.4</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16.</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NS.11A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19.5</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0.5</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4.0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0.17</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5.2</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70.7</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17.</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NS.12A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2.5</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0.8</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96.6</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18.</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NS.12B</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27.5</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2.5</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0.22</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5.2</w:t>
            </w:r>
          </w:p>
        </w:tc>
        <w:tc>
          <w:tcPr>
            <w:tcW w:w="675" w:type="dxa"/>
          </w:tcPr>
          <w:p w:rsidR="00514968" w:rsidRPr="005D4961" w:rsidRDefault="00514968" w:rsidP="00FB11A4">
            <w:pPr>
              <w:rPr>
                <w:rFonts w:ascii="Times New Roman" w:hAnsi="Times New Roman" w:cs="Times New Roman"/>
                <w:sz w:val="16"/>
                <w:szCs w:val="16"/>
              </w:rPr>
            </w:pPr>
            <w:r>
              <w:rPr>
                <w:rFonts w:ascii="Times New Roman" w:hAnsi="Times New Roman" w:cs="Times New Roman"/>
                <w:sz w:val="16"/>
                <w:szCs w:val="16"/>
              </w:rPr>
              <w:t>64.3</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19.</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NS.12E</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Shaly Coal</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42.0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0.36</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15.0</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41.0</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20.</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NS.18A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1.4</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0.20</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4.8</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93.4</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21.</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NS.19B</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29.9</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0.19</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4.6</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71.2</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22.</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RH.02A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0.40</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0.8</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98.9</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23.</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RH.02K</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0.37</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99.6</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24.</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RH.02P</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0.4</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0.25</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99.1</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25.</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NS.13C</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r w:rsidRPr="005D4961">
              <w:rPr>
                <w:rFonts w:ascii="Times New Roman" w:hAnsi="Times New Roman" w:cs="Times New Roman"/>
                <w:sz w:val="16"/>
                <w:szCs w:val="16"/>
              </w:rPr>
              <w:t>Kiliran</w:t>
            </w: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4.2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0.25</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95.3</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26.</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NS.13E</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5.0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0.20</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93.9</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27.</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NS.14A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0.21</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1.1</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97.7</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28.</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NS.14G</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ind w:left="-73"/>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1.5</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0.25</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98.0</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29.</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NS.14i</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Shaly Coal</w:t>
            </w:r>
          </w:p>
        </w:tc>
        <w:tc>
          <w:tcPr>
            <w:tcW w:w="743" w:type="dxa"/>
          </w:tcPr>
          <w:p w:rsidR="00514968" w:rsidRPr="005D4961" w:rsidRDefault="00514968" w:rsidP="00FB11A4">
            <w:pPr>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38.0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0.40</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1.0</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60.8</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30.</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NS.15A</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29.3</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0.7</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3.2</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0.23</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5.2</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61.6</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31.</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NS.15B</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3.4</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0.3</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0.20</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0.9</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95.3</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32.</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NS.15E</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Siltstone</w:t>
            </w:r>
          </w:p>
        </w:tc>
        <w:tc>
          <w:tcPr>
            <w:tcW w:w="743" w:type="dxa"/>
          </w:tcPr>
          <w:p w:rsidR="00514968" w:rsidRPr="005D4961" w:rsidRDefault="00514968" w:rsidP="00FB11A4">
            <w:pPr>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7.0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4.0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0.25</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5.2</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83.7</w:t>
            </w:r>
          </w:p>
        </w:tc>
      </w:tr>
      <w:tr w:rsidR="00514968" w:rsidRPr="005D4961" w:rsidTr="00FB11A4">
        <w:tc>
          <w:tcPr>
            <w:tcW w:w="392" w:type="dxa"/>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33.</w:t>
            </w:r>
          </w:p>
        </w:tc>
        <w:tc>
          <w:tcPr>
            <w:tcW w:w="856"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IQ 13</w:t>
            </w:r>
          </w:p>
        </w:tc>
        <w:tc>
          <w:tcPr>
            <w:tcW w:w="952" w:type="dxa"/>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Pr>
          <w:p w:rsidR="00514968" w:rsidRPr="005D4961" w:rsidRDefault="00514968" w:rsidP="00FB11A4">
            <w:pPr>
              <w:rPr>
                <w:rFonts w:ascii="Times New Roman" w:hAnsi="Times New Roman" w:cs="Times New Roman"/>
                <w:sz w:val="16"/>
                <w:szCs w:val="16"/>
              </w:rPr>
            </w:pPr>
          </w:p>
        </w:tc>
        <w:tc>
          <w:tcPr>
            <w:tcW w:w="655" w:type="dxa"/>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10.0</w:t>
            </w:r>
          </w:p>
        </w:tc>
        <w:tc>
          <w:tcPr>
            <w:tcW w:w="540" w:type="dxa"/>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50" w:type="dxa"/>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0" w:type="dxa"/>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639" w:type="dxa"/>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2.0</w:t>
            </w:r>
          </w:p>
        </w:tc>
        <w:tc>
          <w:tcPr>
            <w:tcW w:w="574" w:type="dxa"/>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0.20</w:t>
            </w:r>
          </w:p>
        </w:tc>
        <w:tc>
          <w:tcPr>
            <w:tcW w:w="593" w:type="dxa"/>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5.2</w:t>
            </w:r>
          </w:p>
        </w:tc>
        <w:tc>
          <w:tcPr>
            <w:tcW w:w="675" w:type="dxa"/>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82.5</w:t>
            </w:r>
          </w:p>
        </w:tc>
      </w:tr>
      <w:tr w:rsidR="00514968" w:rsidRPr="005D4961" w:rsidTr="00FB11A4">
        <w:tc>
          <w:tcPr>
            <w:tcW w:w="392" w:type="dxa"/>
            <w:tcBorders>
              <w:bottom w:val="single" w:sz="4" w:space="0" w:color="auto"/>
            </w:tcBorders>
          </w:tcPr>
          <w:p w:rsidR="00514968" w:rsidRPr="005D4961" w:rsidRDefault="00514968" w:rsidP="00FB11A4">
            <w:pPr>
              <w:ind w:left="-1384" w:right="61"/>
              <w:jc w:val="right"/>
              <w:rPr>
                <w:rFonts w:ascii="Times New Roman" w:hAnsi="Times New Roman" w:cs="Times New Roman"/>
                <w:sz w:val="16"/>
                <w:szCs w:val="16"/>
              </w:rPr>
            </w:pPr>
            <w:r w:rsidRPr="005D4961">
              <w:rPr>
                <w:rFonts w:ascii="Times New Roman" w:hAnsi="Times New Roman" w:cs="Times New Roman"/>
                <w:sz w:val="16"/>
                <w:szCs w:val="16"/>
              </w:rPr>
              <w:t>34.</w:t>
            </w:r>
          </w:p>
        </w:tc>
        <w:tc>
          <w:tcPr>
            <w:tcW w:w="856" w:type="dxa"/>
            <w:tcBorders>
              <w:bottom w:val="single" w:sz="4" w:space="0" w:color="auto"/>
            </w:tcBorders>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IQ 18</w:t>
            </w:r>
          </w:p>
        </w:tc>
        <w:tc>
          <w:tcPr>
            <w:tcW w:w="952" w:type="dxa"/>
            <w:tcBorders>
              <w:bottom w:val="single" w:sz="4" w:space="0" w:color="auto"/>
            </w:tcBorders>
          </w:tcPr>
          <w:p w:rsidR="00514968" w:rsidRPr="005D4961" w:rsidRDefault="00514968" w:rsidP="00FB11A4">
            <w:pPr>
              <w:rPr>
                <w:rFonts w:ascii="Times New Roman" w:hAnsi="Times New Roman" w:cs="Times New Roman"/>
                <w:sz w:val="16"/>
                <w:szCs w:val="16"/>
              </w:rPr>
            </w:pPr>
            <w:r w:rsidRPr="005D4961">
              <w:rPr>
                <w:rFonts w:ascii="Times New Roman" w:hAnsi="Times New Roman" w:cs="Times New Roman"/>
                <w:sz w:val="16"/>
                <w:szCs w:val="16"/>
              </w:rPr>
              <w:t>Claystone</w:t>
            </w:r>
          </w:p>
        </w:tc>
        <w:tc>
          <w:tcPr>
            <w:tcW w:w="743" w:type="dxa"/>
            <w:tcBorders>
              <w:bottom w:val="single" w:sz="4" w:space="0" w:color="auto"/>
            </w:tcBorders>
          </w:tcPr>
          <w:p w:rsidR="00514968" w:rsidRPr="005D4961" w:rsidRDefault="00514968" w:rsidP="00FB11A4">
            <w:pPr>
              <w:rPr>
                <w:rFonts w:ascii="Times New Roman" w:hAnsi="Times New Roman" w:cs="Times New Roman"/>
                <w:sz w:val="16"/>
                <w:szCs w:val="16"/>
              </w:rPr>
            </w:pPr>
          </w:p>
        </w:tc>
        <w:tc>
          <w:tcPr>
            <w:tcW w:w="655" w:type="dxa"/>
            <w:tcBorders>
              <w:bottom w:val="single" w:sz="4" w:space="0" w:color="auto"/>
            </w:tcBorders>
          </w:tcPr>
          <w:p w:rsidR="00514968" w:rsidRPr="005D4961" w:rsidRDefault="00514968" w:rsidP="00FB11A4">
            <w:pPr>
              <w:ind w:left="-3135" w:right="118"/>
              <w:jc w:val="right"/>
              <w:rPr>
                <w:rFonts w:ascii="Times New Roman" w:hAnsi="Times New Roman" w:cs="Times New Roman"/>
                <w:sz w:val="16"/>
                <w:szCs w:val="16"/>
              </w:rPr>
            </w:pPr>
            <w:r w:rsidRPr="005D4961">
              <w:rPr>
                <w:rFonts w:ascii="Times New Roman" w:hAnsi="Times New Roman" w:cs="Times New Roman"/>
                <w:sz w:val="16"/>
                <w:szCs w:val="16"/>
              </w:rPr>
              <w:t>3.0</w:t>
            </w:r>
          </w:p>
        </w:tc>
        <w:tc>
          <w:tcPr>
            <w:tcW w:w="540" w:type="dxa"/>
            <w:tcBorders>
              <w:bottom w:val="single" w:sz="4" w:space="0" w:color="auto"/>
            </w:tcBorders>
          </w:tcPr>
          <w:p w:rsidR="00514968" w:rsidRPr="005D4961" w:rsidRDefault="00514968" w:rsidP="00FB11A4">
            <w:pPr>
              <w:ind w:left="-4780" w:right="143"/>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550" w:type="dxa"/>
            <w:tcBorders>
              <w:bottom w:val="single" w:sz="4" w:space="0" w:color="auto"/>
            </w:tcBorders>
          </w:tcPr>
          <w:p w:rsidR="00514968" w:rsidRPr="005D4961" w:rsidRDefault="00514968" w:rsidP="00FB11A4">
            <w:pPr>
              <w:ind w:left="-5211" w:right="33"/>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31" w:type="dxa"/>
            <w:tcBorders>
              <w:bottom w:val="single" w:sz="4" w:space="0" w:color="auto"/>
            </w:tcBorders>
          </w:tcPr>
          <w:p w:rsidR="00514968" w:rsidRPr="005D4961" w:rsidRDefault="00514968" w:rsidP="00FB11A4">
            <w:pPr>
              <w:ind w:left="-3935" w:right="111"/>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46" w:type="dxa"/>
            <w:tcBorders>
              <w:bottom w:val="single" w:sz="4" w:space="0" w:color="auto"/>
            </w:tcBorders>
          </w:tcPr>
          <w:p w:rsidR="00514968" w:rsidRPr="005D4961" w:rsidRDefault="00514968" w:rsidP="00FB11A4">
            <w:pPr>
              <w:ind w:left="-4784" w:right="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0" w:type="dxa"/>
            <w:tcBorders>
              <w:bottom w:val="single" w:sz="4" w:space="0" w:color="auto"/>
            </w:tcBorders>
          </w:tcPr>
          <w:p w:rsidR="00514968" w:rsidRPr="005D4961" w:rsidRDefault="00514968" w:rsidP="00FB11A4">
            <w:pPr>
              <w:ind w:left="-2553" w:right="147"/>
              <w:jc w:val="right"/>
              <w:rPr>
                <w:rFonts w:ascii="Times New Roman" w:hAnsi="Times New Roman" w:cs="Times New Roman"/>
                <w:sz w:val="16"/>
                <w:szCs w:val="16"/>
              </w:rPr>
            </w:pPr>
            <w:r w:rsidRPr="005D4961">
              <w:rPr>
                <w:rFonts w:ascii="Times New Roman" w:hAnsi="Times New Roman" w:cs="Times New Roman"/>
                <w:sz w:val="16"/>
                <w:szCs w:val="16"/>
              </w:rPr>
              <w:t>-</w:t>
            </w:r>
          </w:p>
        </w:tc>
        <w:tc>
          <w:tcPr>
            <w:tcW w:w="588" w:type="dxa"/>
            <w:tcBorders>
              <w:bottom w:val="single" w:sz="4" w:space="0" w:color="auto"/>
            </w:tcBorders>
          </w:tcPr>
          <w:p w:rsidR="00514968" w:rsidRPr="005D4961" w:rsidRDefault="00514968" w:rsidP="00FB11A4">
            <w:pPr>
              <w:tabs>
                <w:tab w:val="left" w:pos="243"/>
              </w:tabs>
              <w:ind w:left="-5002" w:right="132"/>
              <w:jc w:val="right"/>
              <w:rPr>
                <w:rFonts w:ascii="Times New Roman" w:hAnsi="Times New Roman" w:cs="Times New Roman"/>
                <w:sz w:val="16"/>
                <w:szCs w:val="16"/>
              </w:rPr>
            </w:pPr>
            <w:r w:rsidRPr="005D4961">
              <w:rPr>
                <w:rFonts w:ascii="Times New Roman" w:hAnsi="Times New Roman" w:cs="Times New Roman"/>
                <w:sz w:val="16"/>
                <w:szCs w:val="16"/>
              </w:rPr>
              <w:t>0.1</w:t>
            </w:r>
          </w:p>
        </w:tc>
        <w:tc>
          <w:tcPr>
            <w:tcW w:w="639" w:type="dxa"/>
            <w:tcBorders>
              <w:bottom w:val="single" w:sz="4" w:space="0" w:color="auto"/>
            </w:tcBorders>
          </w:tcPr>
          <w:p w:rsidR="00514968" w:rsidRPr="005D4961" w:rsidRDefault="00514968" w:rsidP="00FB11A4">
            <w:pPr>
              <w:tabs>
                <w:tab w:val="left" w:pos="255"/>
              </w:tabs>
              <w:ind w:left="-7966" w:right="26"/>
              <w:jc w:val="right"/>
              <w:rPr>
                <w:rFonts w:ascii="Times New Roman" w:hAnsi="Times New Roman" w:cs="Times New Roman"/>
                <w:sz w:val="16"/>
                <w:szCs w:val="16"/>
              </w:rPr>
            </w:pPr>
            <w:r w:rsidRPr="005D4961">
              <w:rPr>
                <w:rFonts w:ascii="Times New Roman" w:hAnsi="Times New Roman" w:cs="Times New Roman"/>
                <w:sz w:val="16"/>
                <w:szCs w:val="16"/>
              </w:rPr>
              <w:t>0.2</w:t>
            </w:r>
          </w:p>
        </w:tc>
        <w:tc>
          <w:tcPr>
            <w:tcW w:w="574" w:type="dxa"/>
            <w:tcBorders>
              <w:bottom w:val="single" w:sz="4" w:space="0" w:color="auto"/>
            </w:tcBorders>
          </w:tcPr>
          <w:p w:rsidR="00514968" w:rsidRPr="005D4961" w:rsidRDefault="00514968" w:rsidP="00FB11A4">
            <w:pPr>
              <w:jc w:val="right"/>
              <w:rPr>
                <w:rFonts w:ascii="Times New Roman" w:hAnsi="Times New Roman" w:cs="Times New Roman"/>
                <w:sz w:val="16"/>
                <w:szCs w:val="16"/>
              </w:rPr>
            </w:pPr>
            <w:r w:rsidRPr="005D4961">
              <w:rPr>
                <w:rFonts w:ascii="Times New Roman" w:hAnsi="Times New Roman" w:cs="Times New Roman"/>
                <w:sz w:val="16"/>
                <w:szCs w:val="16"/>
              </w:rPr>
              <w:t>0.23</w:t>
            </w:r>
          </w:p>
        </w:tc>
        <w:tc>
          <w:tcPr>
            <w:tcW w:w="593" w:type="dxa"/>
            <w:tcBorders>
              <w:bottom w:val="single" w:sz="4" w:space="0" w:color="auto"/>
            </w:tcBorders>
          </w:tcPr>
          <w:p w:rsidR="00514968" w:rsidRPr="005D4961" w:rsidRDefault="00514968" w:rsidP="00FB11A4">
            <w:pPr>
              <w:ind w:left="-6061" w:right="59"/>
              <w:jc w:val="right"/>
              <w:rPr>
                <w:rFonts w:ascii="Times New Roman" w:hAnsi="Times New Roman" w:cs="Times New Roman"/>
                <w:sz w:val="16"/>
                <w:szCs w:val="16"/>
              </w:rPr>
            </w:pPr>
            <w:r w:rsidRPr="005D4961">
              <w:rPr>
                <w:rFonts w:ascii="Times New Roman" w:hAnsi="Times New Roman" w:cs="Times New Roman"/>
                <w:sz w:val="16"/>
                <w:szCs w:val="16"/>
              </w:rPr>
              <w:t>4.8</w:t>
            </w:r>
          </w:p>
        </w:tc>
        <w:tc>
          <w:tcPr>
            <w:tcW w:w="675" w:type="dxa"/>
            <w:tcBorders>
              <w:bottom w:val="single" w:sz="4" w:space="0" w:color="auto"/>
            </w:tcBorders>
          </w:tcPr>
          <w:p w:rsidR="00514968" w:rsidRPr="005D4961" w:rsidRDefault="00E46A4E" w:rsidP="00FB11A4">
            <w:pPr>
              <w:rPr>
                <w:rFonts w:ascii="Times New Roman" w:hAnsi="Times New Roman" w:cs="Times New Roman"/>
                <w:sz w:val="16"/>
                <w:szCs w:val="16"/>
              </w:rPr>
            </w:pPr>
            <w:r>
              <w:rPr>
                <w:rFonts w:ascii="Times New Roman" w:hAnsi="Times New Roman" w:cs="Times New Roman"/>
                <w:sz w:val="16"/>
                <w:szCs w:val="16"/>
              </w:rPr>
              <w:t>90.7</w:t>
            </w:r>
          </w:p>
        </w:tc>
      </w:tr>
    </w:tbl>
    <w:p w:rsidR="00514968" w:rsidRPr="000430E6" w:rsidRDefault="00514968" w:rsidP="00514968">
      <w:pPr>
        <w:spacing w:after="0"/>
        <w:rPr>
          <w:rFonts w:ascii="Times New Roman" w:hAnsi="Times New Roman" w:cs="Times New Roman"/>
          <w:sz w:val="16"/>
          <w:szCs w:val="16"/>
        </w:rPr>
      </w:pPr>
      <w:r w:rsidRPr="000430E6">
        <w:rPr>
          <w:rFonts w:ascii="Times New Roman" w:hAnsi="Times New Roman" w:cs="Times New Roman"/>
          <w:sz w:val="16"/>
          <w:szCs w:val="16"/>
        </w:rPr>
        <w:t>Explanation: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46"/>
        <w:gridCol w:w="1405"/>
        <w:gridCol w:w="567"/>
        <w:gridCol w:w="1559"/>
        <w:gridCol w:w="567"/>
        <w:gridCol w:w="1560"/>
        <w:gridCol w:w="708"/>
        <w:gridCol w:w="2268"/>
      </w:tblGrid>
      <w:tr w:rsidR="00514968" w:rsidRPr="000430E6" w:rsidTr="00FB11A4">
        <w:tc>
          <w:tcPr>
            <w:tcW w:w="546"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E</w:t>
            </w:r>
          </w:p>
        </w:tc>
        <w:tc>
          <w:tcPr>
            <w:tcW w:w="1405"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xml:space="preserve">:   Exinite                   </w:t>
            </w:r>
          </w:p>
        </w:tc>
        <w:tc>
          <w:tcPr>
            <w:tcW w:w="567"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Cut</w:t>
            </w:r>
          </w:p>
        </w:tc>
        <w:tc>
          <w:tcPr>
            <w:tcW w:w="1559"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Cutinite</w:t>
            </w:r>
          </w:p>
        </w:tc>
        <w:tc>
          <w:tcPr>
            <w:tcW w:w="567"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Re</w:t>
            </w:r>
          </w:p>
        </w:tc>
        <w:tc>
          <w:tcPr>
            <w:tcW w:w="1560"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Resinite</w:t>
            </w:r>
          </w:p>
        </w:tc>
        <w:tc>
          <w:tcPr>
            <w:tcW w:w="708"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Rv</w:t>
            </w:r>
          </w:p>
        </w:tc>
        <w:tc>
          <w:tcPr>
            <w:tcW w:w="2268"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Vitrinite reflectance</w:t>
            </w:r>
          </w:p>
        </w:tc>
      </w:tr>
      <w:tr w:rsidR="00514968" w:rsidRPr="000430E6" w:rsidTr="00FB11A4">
        <w:tc>
          <w:tcPr>
            <w:tcW w:w="546"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Lam</w:t>
            </w:r>
          </w:p>
        </w:tc>
        <w:tc>
          <w:tcPr>
            <w:tcW w:w="1405"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Lamalginite</w:t>
            </w:r>
          </w:p>
        </w:tc>
        <w:tc>
          <w:tcPr>
            <w:tcW w:w="567"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Sp</w:t>
            </w:r>
          </w:p>
        </w:tc>
        <w:tc>
          <w:tcPr>
            <w:tcW w:w="1559"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Sporinite</w:t>
            </w:r>
          </w:p>
        </w:tc>
        <w:tc>
          <w:tcPr>
            <w:tcW w:w="567"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Bitu</w:t>
            </w:r>
          </w:p>
        </w:tc>
        <w:tc>
          <w:tcPr>
            <w:tcW w:w="1560"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Bituminite</w:t>
            </w:r>
          </w:p>
        </w:tc>
        <w:tc>
          <w:tcPr>
            <w:tcW w:w="708"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Py</w:t>
            </w:r>
          </w:p>
        </w:tc>
        <w:tc>
          <w:tcPr>
            <w:tcW w:w="2268"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Framboidal pyrite</w:t>
            </w:r>
          </w:p>
        </w:tc>
      </w:tr>
      <w:tr w:rsidR="00514968" w:rsidRPr="000430E6" w:rsidTr="00FB11A4">
        <w:tc>
          <w:tcPr>
            <w:tcW w:w="546"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xml:space="preserve">Tel     </w:t>
            </w:r>
          </w:p>
        </w:tc>
        <w:tc>
          <w:tcPr>
            <w:tcW w:w="1405"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Telalginite</w:t>
            </w:r>
          </w:p>
        </w:tc>
        <w:tc>
          <w:tcPr>
            <w:tcW w:w="567"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Lpt</w:t>
            </w:r>
          </w:p>
        </w:tc>
        <w:tc>
          <w:tcPr>
            <w:tcW w:w="1559"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Liptodetrinite</w:t>
            </w:r>
          </w:p>
        </w:tc>
        <w:tc>
          <w:tcPr>
            <w:tcW w:w="567"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V</w:t>
            </w:r>
          </w:p>
        </w:tc>
        <w:tc>
          <w:tcPr>
            <w:tcW w:w="1560"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Vitrinite</w:t>
            </w:r>
          </w:p>
        </w:tc>
        <w:tc>
          <w:tcPr>
            <w:tcW w:w="708"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 xml:space="preserve">Others </w:t>
            </w:r>
          </w:p>
        </w:tc>
        <w:tc>
          <w:tcPr>
            <w:tcW w:w="2268" w:type="dxa"/>
          </w:tcPr>
          <w:p w:rsidR="00514968" w:rsidRPr="000430E6" w:rsidRDefault="00514968" w:rsidP="00FB11A4">
            <w:pPr>
              <w:rPr>
                <w:rFonts w:ascii="Times New Roman" w:hAnsi="Times New Roman" w:cs="Times New Roman"/>
                <w:sz w:val="16"/>
                <w:szCs w:val="16"/>
              </w:rPr>
            </w:pPr>
            <w:r w:rsidRPr="000430E6">
              <w:rPr>
                <w:rFonts w:ascii="Times New Roman" w:hAnsi="Times New Roman" w:cs="Times New Roman"/>
                <w:sz w:val="16"/>
                <w:szCs w:val="16"/>
              </w:rPr>
              <w:t>:Majority clay minerals</w:t>
            </w:r>
          </w:p>
          <w:p w:rsidR="00E46A4E" w:rsidRPr="000430E6" w:rsidRDefault="00E46A4E" w:rsidP="00FB11A4">
            <w:pPr>
              <w:rPr>
                <w:rFonts w:ascii="Times New Roman" w:hAnsi="Times New Roman" w:cs="Times New Roman"/>
                <w:sz w:val="16"/>
                <w:szCs w:val="16"/>
              </w:rPr>
            </w:pPr>
          </w:p>
        </w:tc>
      </w:tr>
    </w:tbl>
    <w:p w:rsidR="00E46A4E" w:rsidRDefault="00E46A4E" w:rsidP="00E46A4E">
      <w:pPr>
        <w:spacing w:after="0"/>
        <w:jc w:val="both"/>
        <w:rPr>
          <w:rFonts w:ascii="Times New Roman" w:hAnsi="Times New Roman" w:cs="Times New Roman"/>
          <w:sz w:val="18"/>
          <w:szCs w:val="18"/>
        </w:rPr>
      </w:pPr>
    </w:p>
    <w:p w:rsidR="00F81C27" w:rsidRPr="00BC4597" w:rsidRDefault="00562EFA" w:rsidP="00E46A4E">
      <w:pPr>
        <w:spacing w:after="0"/>
        <w:jc w:val="both"/>
        <w:rPr>
          <w:rFonts w:ascii="Times New Roman" w:hAnsi="Times New Roman" w:cs="Times New Roman"/>
          <w:sz w:val="24"/>
          <w:szCs w:val="24"/>
        </w:rPr>
      </w:pPr>
      <w:r w:rsidRPr="00BC4597">
        <w:rPr>
          <w:rFonts w:ascii="Times New Roman" w:hAnsi="Times New Roman" w:cs="Times New Roman"/>
          <w:sz w:val="24"/>
          <w:szCs w:val="24"/>
        </w:rPr>
        <w:t>liptodetrinite (0.1 – 2.5%), sporinite (0.3 – 1.0%), and bituminite (0.1%). Minor amounts of vitrinite macerals of 0.2 - 2.0 %  are also recognized</w:t>
      </w:r>
      <w:r w:rsidR="00E46A4E" w:rsidRPr="00BC4597">
        <w:rPr>
          <w:rFonts w:ascii="Times New Roman" w:hAnsi="Times New Roman" w:cs="Times New Roman"/>
          <w:sz w:val="24"/>
          <w:szCs w:val="24"/>
        </w:rPr>
        <w:t xml:space="preserve">. </w:t>
      </w:r>
      <w:r w:rsidRPr="00BC4597">
        <w:rPr>
          <w:rFonts w:ascii="Times New Roman" w:hAnsi="Times New Roman" w:cs="Times New Roman"/>
          <w:sz w:val="24"/>
          <w:szCs w:val="24"/>
        </w:rPr>
        <w:t xml:space="preserve">Mineral matter  present are mainly pyrite of framboidal type (0.2 – 15.0%) and clay minerals. The mean vitrinite reflectance varies from 0.17 - 0.40 %. However, the mean vitrinite reflectance is dominated by 0.19 - 0.25 %. Weakly fluorescent matrix (groundmass) is evident in most fine-grained samples, indicating the presence of hydrogen-rich organic matter (Robert, 1981; Bustin </w:t>
      </w:r>
      <w:r w:rsidRPr="00BC4597">
        <w:rPr>
          <w:rFonts w:ascii="Times New Roman" w:hAnsi="Times New Roman" w:cs="Times New Roman"/>
          <w:i/>
          <w:sz w:val="24"/>
          <w:szCs w:val="24"/>
        </w:rPr>
        <w:t>et al</w:t>
      </w:r>
      <w:r w:rsidRPr="00BC4597">
        <w:rPr>
          <w:rFonts w:ascii="Times New Roman" w:hAnsi="Times New Roman" w:cs="Times New Roman"/>
          <w:sz w:val="24"/>
          <w:szCs w:val="24"/>
        </w:rPr>
        <w:t xml:space="preserve">., 1985). </w:t>
      </w:r>
      <w:r w:rsidRPr="00BC4597">
        <w:rPr>
          <w:rFonts w:ascii="Times New Roman" w:hAnsi="Times New Roman" w:cs="Times New Roman"/>
          <w:sz w:val="24"/>
          <w:szCs w:val="24"/>
        </w:rPr>
        <w:lastRenderedPageBreak/>
        <w:t xml:space="preserve">Some of vitrinite macerals recognized have a granular appearance with micropores and fissures, which are characteristic of oxidation (Bustin </w:t>
      </w:r>
      <w:r w:rsidRPr="00BC4597">
        <w:rPr>
          <w:rFonts w:ascii="Times New Roman" w:hAnsi="Times New Roman" w:cs="Times New Roman"/>
          <w:i/>
          <w:sz w:val="24"/>
          <w:szCs w:val="24"/>
        </w:rPr>
        <w:t>et al</w:t>
      </w:r>
      <w:r w:rsidRPr="00BC4597">
        <w:rPr>
          <w:rFonts w:ascii="Times New Roman" w:hAnsi="Times New Roman" w:cs="Times New Roman"/>
          <w:sz w:val="24"/>
          <w:szCs w:val="24"/>
        </w:rPr>
        <w:t xml:space="preserve">., 1985). </w:t>
      </w:r>
    </w:p>
    <w:p w:rsidR="00E46A4E" w:rsidRPr="00BC4597" w:rsidRDefault="00F81C27" w:rsidP="00F81C27">
      <w:pPr>
        <w:spacing w:after="0"/>
        <w:ind w:firstLine="567"/>
        <w:jc w:val="both"/>
        <w:rPr>
          <w:rFonts w:ascii="Times New Roman" w:hAnsi="Times New Roman" w:cs="Times New Roman"/>
          <w:sz w:val="24"/>
          <w:szCs w:val="24"/>
        </w:rPr>
      </w:pPr>
      <w:r w:rsidRPr="00BC4597">
        <w:rPr>
          <w:rFonts w:ascii="Times New Roman" w:hAnsi="Times New Roman" w:cs="Times New Roman"/>
          <w:sz w:val="24"/>
          <w:szCs w:val="24"/>
        </w:rPr>
        <w:t>Furthermore, alginite present in the oil shale samples is predominantly “lamalginite” (Table 3</w:t>
      </w:r>
      <w:r w:rsidR="00135D80" w:rsidRPr="00BC4597">
        <w:rPr>
          <w:rFonts w:ascii="Times New Roman" w:hAnsi="Times New Roman" w:cs="Times New Roman"/>
          <w:sz w:val="24"/>
          <w:szCs w:val="24"/>
        </w:rPr>
        <w:t>), of a</w:t>
      </w:r>
      <w:r w:rsidR="00E46A4E" w:rsidRPr="00BC4597">
        <w:rPr>
          <w:rFonts w:ascii="Times New Roman" w:hAnsi="Times New Roman" w:cs="Times New Roman"/>
          <w:sz w:val="24"/>
          <w:szCs w:val="24"/>
        </w:rPr>
        <w:t>n</w:t>
      </w:r>
      <w:r w:rsidRPr="00BC4597">
        <w:rPr>
          <w:rFonts w:ascii="Times New Roman" w:hAnsi="Times New Roman" w:cs="Times New Roman"/>
          <w:sz w:val="24"/>
          <w:szCs w:val="24"/>
        </w:rPr>
        <w:t>orange fluorescence colour</w:t>
      </w:r>
      <w:r w:rsidR="00135D80" w:rsidRPr="00BC4597">
        <w:rPr>
          <w:rFonts w:ascii="Times New Roman" w:hAnsi="Times New Roman" w:cs="Times New Roman"/>
          <w:sz w:val="24"/>
          <w:szCs w:val="24"/>
        </w:rPr>
        <w:t xml:space="preserve"> (Figure 6</w:t>
      </w:r>
      <w:r w:rsidR="00E46A4E" w:rsidRPr="00BC4597">
        <w:rPr>
          <w:rFonts w:ascii="Times New Roman" w:hAnsi="Times New Roman" w:cs="Times New Roman"/>
          <w:sz w:val="24"/>
          <w:szCs w:val="24"/>
        </w:rPr>
        <w:t>a</w:t>
      </w:r>
      <w:r w:rsidR="00135D80" w:rsidRPr="00BC4597">
        <w:rPr>
          <w:rFonts w:ascii="Times New Roman" w:hAnsi="Times New Roman" w:cs="Times New Roman"/>
          <w:sz w:val="24"/>
          <w:szCs w:val="24"/>
        </w:rPr>
        <w:t>)</w:t>
      </w:r>
      <w:r w:rsidRPr="00BC4597">
        <w:rPr>
          <w:rFonts w:ascii="Times New Roman" w:hAnsi="Times New Roman" w:cs="Times New Roman"/>
          <w:sz w:val="24"/>
          <w:szCs w:val="24"/>
        </w:rPr>
        <w:t xml:space="preserve">. Therefore, the oil shale deposits can be termed as “lamosites”, although a very rare of probably </w:t>
      </w:r>
      <w:r w:rsidRPr="00BC4597">
        <w:rPr>
          <w:rFonts w:ascii="Times New Roman" w:hAnsi="Times New Roman" w:cs="Times New Roman"/>
          <w:i/>
          <w:sz w:val="24"/>
          <w:szCs w:val="24"/>
        </w:rPr>
        <w:t>Botryococcus</w:t>
      </w:r>
      <w:r w:rsidRPr="00BC4597">
        <w:rPr>
          <w:rFonts w:ascii="Times New Roman" w:hAnsi="Times New Roman" w:cs="Times New Roman"/>
          <w:sz w:val="24"/>
          <w:szCs w:val="24"/>
        </w:rPr>
        <w:t xml:space="preserve"> telalginite also occurs</w:t>
      </w:r>
      <w:r w:rsidR="00E46A4E" w:rsidRPr="00BC4597">
        <w:rPr>
          <w:rFonts w:ascii="Times New Roman" w:hAnsi="Times New Roman" w:cs="Times New Roman"/>
          <w:sz w:val="24"/>
          <w:szCs w:val="24"/>
        </w:rPr>
        <w:t>.</w:t>
      </w:r>
    </w:p>
    <w:p w:rsidR="00135D80" w:rsidRPr="00BC4597" w:rsidRDefault="00E46A4E" w:rsidP="00E46A4E">
      <w:pPr>
        <w:spacing w:after="0"/>
        <w:ind w:firstLine="567"/>
        <w:jc w:val="both"/>
        <w:rPr>
          <w:rFonts w:ascii="Times New Roman" w:hAnsi="Times New Roman" w:cs="Times New Roman"/>
          <w:sz w:val="24"/>
          <w:szCs w:val="24"/>
        </w:rPr>
      </w:pPr>
      <w:r w:rsidRPr="00BC4597">
        <w:rPr>
          <w:rFonts w:ascii="Times New Roman" w:hAnsi="Times New Roman" w:cs="Times New Roman"/>
          <w:sz w:val="24"/>
          <w:szCs w:val="24"/>
        </w:rPr>
        <w:t xml:space="preserve">In Kiliranjao area, macerals occurring (Table 3) as DOM of the Kiliran oil shale (Figures 2 and 6b) are predominated by exinite (liptinite) group comprising lamalginite (0.1 – 29.3%), followed by liptodetrinite (0.1 – 0.7%), </w:t>
      </w:r>
      <w:r w:rsidRPr="00BC4597">
        <w:rPr>
          <w:rFonts w:ascii="Times New Roman" w:hAnsi="Times New Roman" w:cs="Times New Roman"/>
          <w:i/>
          <w:sz w:val="24"/>
          <w:szCs w:val="24"/>
        </w:rPr>
        <w:t>Botryococcus</w:t>
      </w:r>
      <w:r w:rsidRPr="00BC4597">
        <w:rPr>
          <w:rFonts w:ascii="Times New Roman" w:hAnsi="Times New Roman" w:cs="Times New Roman"/>
          <w:sz w:val="24"/>
          <w:szCs w:val="24"/>
        </w:rPr>
        <w:t>-telalginite (0.1 – 0.2%), cutinite of 0.1%, and bituminite of 0.1%.  Sparse to abundant vitrinite maceral is also determined of 0.2 to 4.0%, with one sample show value of 38.0%. Some macerals present</w:t>
      </w:r>
      <w:r w:rsidR="00E01CF3" w:rsidRPr="00BC4597">
        <w:rPr>
          <w:rFonts w:ascii="Times New Roman" w:hAnsi="Times New Roman" w:cs="Times New Roman"/>
          <w:sz w:val="24"/>
          <w:szCs w:val="24"/>
        </w:rPr>
        <w:t xml:space="preserve"> (Table 4)</w:t>
      </w:r>
      <w:r w:rsidRPr="00BC4597">
        <w:rPr>
          <w:rFonts w:ascii="Times New Roman" w:hAnsi="Times New Roman" w:cs="Times New Roman"/>
          <w:sz w:val="24"/>
          <w:szCs w:val="24"/>
        </w:rPr>
        <w:t>, also can be identified by Scanning Electron Microscopy (SEM) such as lamalginite (</w:t>
      </w:r>
      <w:r w:rsidR="000430E6" w:rsidRPr="00BC4597">
        <w:rPr>
          <w:rFonts w:ascii="Times New Roman" w:hAnsi="Times New Roman" w:cs="Times New Roman"/>
          <w:sz w:val="24"/>
          <w:szCs w:val="24"/>
        </w:rPr>
        <w:t xml:space="preserve">Figure </w:t>
      </w:r>
      <w:r w:rsidR="00CB636C" w:rsidRPr="00BC4597">
        <w:rPr>
          <w:rFonts w:ascii="Times New Roman" w:hAnsi="Times New Roman" w:cs="Times New Roman"/>
          <w:sz w:val="24"/>
          <w:szCs w:val="24"/>
        </w:rPr>
        <w:t>7</w:t>
      </w:r>
      <w:r w:rsidRPr="00BC4597">
        <w:rPr>
          <w:rFonts w:ascii="Times New Roman" w:hAnsi="Times New Roman" w:cs="Times New Roman"/>
          <w:sz w:val="24"/>
          <w:szCs w:val="24"/>
        </w:rPr>
        <w:t xml:space="preserve">), </w:t>
      </w:r>
      <w:r w:rsidRPr="00BC4597">
        <w:rPr>
          <w:rFonts w:ascii="Times New Roman" w:hAnsi="Times New Roman" w:cs="Times New Roman"/>
          <w:i/>
          <w:sz w:val="24"/>
          <w:szCs w:val="24"/>
        </w:rPr>
        <w:t>Botryococcus</w:t>
      </w:r>
      <w:r w:rsidRPr="00BC4597">
        <w:rPr>
          <w:rFonts w:ascii="Times New Roman" w:hAnsi="Times New Roman" w:cs="Times New Roman"/>
          <w:sz w:val="24"/>
          <w:szCs w:val="24"/>
        </w:rPr>
        <w:t>-telalginite (</w:t>
      </w:r>
      <w:r w:rsidR="000430E6" w:rsidRPr="00BC4597">
        <w:rPr>
          <w:rFonts w:ascii="Times New Roman" w:hAnsi="Times New Roman" w:cs="Times New Roman"/>
          <w:sz w:val="24"/>
          <w:szCs w:val="24"/>
        </w:rPr>
        <w:t xml:space="preserve">Figure </w:t>
      </w:r>
      <w:r w:rsidR="00CB636C" w:rsidRPr="00BC4597">
        <w:rPr>
          <w:rFonts w:ascii="Times New Roman" w:hAnsi="Times New Roman" w:cs="Times New Roman"/>
          <w:sz w:val="24"/>
          <w:szCs w:val="24"/>
        </w:rPr>
        <w:t>8</w:t>
      </w:r>
      <w:r w:rsidRPr="00BC4597">
        <w:rPr>
          <w:rFonts w:ascii="Times New Roman" w:hAnsi="Times New Roman" w:cs="Times New Roman"/>
          <w:sz w:val="24"/>
          <w:szCs w:val="24"/>
        </w:rPr>
        <w:t>), and vitrinite. The dominant range of mean vitrinite reflectance (Rv</w:t>
      </w:r>
      <w:r w:rsidRPr="00BC4597">
        <w:rPr>
          <w:rFonts w:ascii="Times New Roman" w:hAnsi="Times New Roman" w:cs="Times New Roman"/>
          <w:sz w:val="24"/>
          <w:szCs w:val="24"/>
          <w:vertAlign w:val="subscript"/>
        </w:rPr>
        <w:t>max</w:t>
      </w:r>
      <w:r w:rsidRPr="00BC4597">
        <w:rPr>
          <w:rFonts w:ascii="Times New Roman" w:hAnsi="Times New Roman" w:cs="Times New Roman"/>
          <w:sz w:val="24"/>
          <w:szCs w:val="24"/>
        </w:rPr>
        <w:t xml:space="preserve">) is situated between 0.20 % and 0.25 %.  Weakly fluorescent matrix (groundmass) is evident in most fine-grained samples, indicating the presence of hydrogen-rich organic matter (Robert, 1981; Bustin </w:t>
      </w:r>
      <w:r w:rsidRPr="00BC4597">
        <w:rPr>
          <w:rFonts w:ascii="Times New Roman" w:hAnsi="Times New Roman" w:cs="Times New Roman"/>
          <w:i/>
          <w:sz w:val="24"/>
          <w:szCs w:val="24"/>
        </w:rPr>
        <w:t>et al</w:t>
      </w:r>
      <w:r w:rsidRPr="00BC4597">
        <w:rPr>
          <w:rFonts w:ascii="Times New Roman" w:hAnsi="Times New Roman" w:cs="Times New Roman"/>
          <w:sz w:val="24"/>
          <w:szCs w:val="24"/>
        </w:rPr>
        <w:t>., 1985). Some framboidal pyrites  (0.2 –</w:t>
      </w:r>
      <w:r w:rsidR="00E01CF3" w:rsidRPr="00BC4597">
        <w:rPr>
          <w:rFonts w:ascii="Times New Roman" w:hAnsi="Times New Roman" w:cs="Times New Roman"/>
          <w:sz w:val="24"/>
          <w:szCs w:val="24"/>
        </w:rPr>
        <w:t xml:space="preserve"> 5.2 %) commonly occur (Figure 3</w:t>
      </w:r>
      <w:r w:rsidRPr="00BC4597">
        <w:rPr>
          <w:rFonts w:ascii="Times New Roman" w:hAnsi="Times New Roman" w:cs="Times New Roman"/>
          <w:sz w:val="24"/>
          <w:szCs w:val="24"/>
        </w:rPr>
        <w:t>). The mean vitrinite reflectance (Rv</w:t>
      </w:r>
      <w:r w:rsidRPr="00BC4597">
        <w:rPr>
          <w:rFonts w:ascii="Times New Roman" w:hAnsi="Times New Roman" w:cs="Times New Roman"/>
          <w:sz w:val="24"/>
          <w:szCs w:val="24"/>
          <w:vertAlign w:val="subscript"/>
        </w:rPr>
        <w:t>max</w:t>
      </w:r>
      <w:r w:rsidRPr="00BC4597">
        <w:rPr>
          <w:rFonts w:ascii="Times New Roman" w:hAnsi="Times New Roman" w:cs="Times New Roman"/>
          <w:sz w:val="24"/>
          <w:szCs w:val="24"/>
        </w:rPr>
        <w:t>) varying from 0.20 – 0.25%, is situated within the diagenesis level, also tends to indicate an immature stage.</w:t>
      </w:r>
    </w:p>
    <w:p w:rsidR="00135D80" w:rsidRPr="005D4961" w:rsidRDefault="00135D80" w:rsidP="00135D80">
      <w:pPr>
        <w:spacing w:after="0" w:line="240" w:lineRule="auto"/>
        <w:ind w:firstLine="567"/>
        <w:jc w:val="both"/>
        <w:rPr>
          <w:rFonts w:ascii="Times New Roman" w:hAnsi="Times New Roman" w:cs="Times New Roman"/>
          <w:sz w:val="20"/>
          <w:szCs w:val="20"/>
        </w:rPr>
      </w:pPr>
    </w:p>
    <w:p w:rsidR="00135D80" w:rsidRPr="005D4961" w:rsidRDefault="00135D80" w:rsidP="00135D80">
      <w:pPr>
        <w:spacing w:after="0"/>
        <w:ind w:firstLine="567"/>
        <w:jc w:val="center"/>
        <w:rPr>
          <w:rFonts w:ascii="Times New Roman" w:hAnsi="Times New Roman" w:cs="Times New Roman"/>
          <w:sz w:val="20"/>
          <w:szCs w:val="20"/>
        </w:rPr>
      </w:pPr>
    </w:p>
    <w:p w:rsidR="00135D80" w:rsidRPr="005D4961" w:rsidRDefault="00BC4597" w:rsidP="00135D80">
      <w:pPr>
        <w:spacing w:before="120" w:after="0"/>
        <w:ind w:firstLine="567"/>
        <w:jc w:val="center"/>
        <w:rPr>
          <w:rFonts w:ascii="Times New Roman" w:hAnsi="Times New Roman" w:cs="Times New Roman"/>
          <w:sz w:val="18"/>
          <w:szCs w:val="18"/>
        </w:rPr>
      </w:pPr>
      <w:r w:rsidRPr="005D4961">
        <w:rPr>
          <w:rFonts w:ascii="Times New Roman" w:hAnsi="Times New Roman" w:cs="Times New Roman"/>
          <w:noProof/>
          <w:sz w:val="20"/>
          <w:szCs w:val="20"/>
          <w:lang w:val="en-US"/>
        </w:rPr>
        <w:drawing>
          <wp:anchor distT="0" distB="0" distL="114300" distR="114300" simplePos="0" relativeHeight="251661312" behindDoc="1" locked="0" layoutInCell="1" allowOverlap="1">
            <wp:simplePos x="0" y="0"/>
            <wp:positionH relativeFrom="column">
              <wp:posOffset>3100816</wp:posOffset>
            </wp:positionH>
            <wp:positionV relativeFrom="paragraph">
              <wp:posOffset>22860</wp:posOffset>
            </wp:positionV>
            <wp:extent cx="2636520" cy="1963420"/>
            <wp:effectExtent l="0" t="0" r="0" b="0"/>
            <wp:wrapNone/>
            <wp:docPr id="5" name="Picture 5" descr="J:\KULIAH S2\PAPERS\FOTO DAN TABEL SAMPEL (PAPER INTERNASIONAL\FOTO\4) 14 IQ 18 (F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J:\KULIAH S2\PAPERS\FOTO DAN TABEL SAMPEL (PAPER INTERNASIONAL\FOTO\4) 14 IQ 18 (FL).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6520" cy="1963420"/>
                    </a:xfrm>
                    <a:prstGeom prst="rect">
                      <a:avLst/>
                    </a:prstGeom>
                    <a:noFill/>
                    <a:ln>
                      <a:noFill/>
                    </a:ln>
                  </pic:spPr>
                </pic:pic>
              </a:graphicData>
            </a:graphic>
          </wp:anchor>
        </w:drawing>
      </w:r>
      <w:r w:rsidRPr="005D4961">
        <w:rPr>
          <w:rFonts w:ascii="Times New Roman" w:hAnsi="Times New Roman" w:cs="Times New Roman"/>
          <w:noProof/>
          <w:lang w:val="en-US"/>
        </w:rPr>
        <w:drawing>
          <wp:anchor distT="0" distB="0" distL="114300" distR="114300" simplePos="0" relativeHeight="251660288" behindDoc="1" locked="0" layoutInCell="1" allowOverlap="1">
            <wp:simplePos x="0" y="0"/>
            <wp:positionH relativeFrom="column">
              <wp:posOffset>238125</wp:posOffset>
            </wp:positionH>
            <wp:positionV relativeFrom="paragraph">
              <wp:posOffset>22860</wp:posOffset>
            </wp:positionV>
            <wp:extent cx="2607945" cy="1963420"/>
            <wp:effectExtent l="0" t="0" r="1905"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7945" cy="1963420"/>
                    </a:xfrm>
                    <a:prstGeom prst="rect">
                      <a:avLst/>
                    </a:prstGeom>
                    <a:noFill/>
                    <a:ln>
                      <a:noFill/>
                    </a:ln>
                  </pic:spPr>
                </pic:pic>
              </a:graphicData>
            </a:graphic>
          </wp:anchor>
        </w:drawing>
      </w:r>
    </w:p>
    <w:p w:rsidR="00135D80" w:rsidRPr="005D4961" w:rsidRDefault="00135D80" w:rsidP="00135D80">
      <w:pPr>
        <w:spacing w:before="120" w:after="0"/>
        <w:ind w:firstLine="567"/>
        <w:jc w:val="center"/>
        <w:rPr>
          <w:rFonts w:ascii="Times New Roman" w:hAnsi="Times New Roman" w:cs="Times New Roman"/>
          <w:sz w:val="18"/>
          <w:szCs w:val="18"/>
        </w:rPr>
      </w:pPr>
    </w:p>
    <w:p w:rsidR="00135D80" w:rsidRPr="005D4961" w:rsidRDefault="00135D80" w:rsidP="00135D80">
      <w:pPr>
        <w:spacing w:before="120" w:after="0"/>
        <w:ind w:firstLine="567"/>
        <w:jc w:val="center"/>
        <w:rPr>
          <w:rFonts w:ascii="Times New Roman" w:hAnsi="Times New Roman" w:cs="Times New Roman"/>
          <w:sz w:val="18"/>
          <w:szCs w:val="18"/>
        </w:rPr>
      </w:pPr>
    </w:p>
    <w:p w:rsidR="00135D80" w:rsidRPr="005D4961" w:rsidRDefault="00135D80" w:rsidP="00135D80">
      <w:pPr>
        <w:spacing w:before="120" w:after="0"/>
        <w:ind w:firstLine="567"/>
        <w:jc w:val="center"/>
        <w:rPr>
          <w:rFonts w:ascii="Times New Roman" w:hAnsi="Times New Roman" w:cs="Times New Roman"/>
          <w:sz w:val="18"/>
          <w:szCs w:val="18"/>
        </w:rPr>
      </w:pPr>
    </w:p>
    <w:p w:rsidR="00135D80" w:rsidRPr="005D4961" w:rsidRDefault="00135D80" w:rsidP="00135D80">
      <w:pPr>
        <w:spacing w:before="120" w:after="0"/>
        <w:ind w:firstLine="567"/>
        <w:rPr>
          <w:rFonts w:ascii="Times New Roman" w:hAnsi="Times New Roman" w:cs="Times New Roman"/>
          <w:sz w:val="18"/>
          <w:szCs w:val="18"/>
          <w:lang w:val="en-US"/>
        </w:rPr>
      </w:pPr>
    </w:p>
    <w:p w:rsidR="00135D80" w:rsidRPr="005D4961" w:rsidRDefault="00135D80" w:rsidP="00135D80">
      <w:pPr>
        <w:spacing w:before="120" w:after="0"/>
        <w:ind w:firstLine="567"/>
        <w:rPr>
          <w:rFonts w:ascii="Times New Roman" w:hAnsi="Times New Roman" w:cs="Times New Roman"/>
          <w:sz w:val="18"/>
          <w:szCs w:val="18"/>
          <w:lang w:val="en-US"/>
        </w:rPr>
      </w:pPr>
    </w:p>
    <w:p w:rsidR="00135D80" w:rsidRPr="00CB636C" w:rsidRDefault="00CB636C" w:rsidP="00BC4597">
      <w:pPr>
        <w:spacing w:before="120" w:after="0"/>
        <w:rPr>
          <w:rFonts w:ascii="Times New Roman" w:hAnsi="Times New Roman" w:cs="Times New Roman"/>
          <w:sz w:val="18"/>
          <w:szCs w:val="18"/>
        </w:rPr>
      </w:pPr>
      <w:r>
        <w:rPr>
          <w:rFonts w:ascii="Times New Roman" w:hAnsi="Times New Roman" w:cs="Times New Roman"/>
          <w:sz w:val="16"/>
          <w:szCs w:val="16"/>
        </w:rPr>
        <w:t>(a)</w:t>
      </w:r>
      <w:r>
        <w:rPr>
          <w:rFonts w:ascii="Times New Roman" w:hAnsi="Times New Roman" w:cs="Times New Roman"/>
          <w:sz w:val="18"/>
          <w:szCs w:val="18"/>
        </w:rPr>
        <w:t>(</w:t>
      </w:r>
      <w:r>
        <w:rPr>
          <w:rFonts w:ascii="Times New Roman" w:hAnsi="Times New Roman" w:cs="Times New Roman"/>
          <w:sz w:val="16"/>
          <w:szCs w:val="16"/>
        </w:rPr>
        <w:t>b)</w:t>
      </w:r>
    </w:p>
    <w:p w:rsidR="00CB636C" w:rsidRDefault="00CB636C" w:rsidP="00135D80">
      <w:pPr>
        <w:spacing w:before="120" w:after="0"/>
        <w:ind w:firstLine="567"/>
        <w:jc w:val="center"/>
        <w:rPr>
          <w:rFonts w:ascii="Times New Roman" w:hAnsi="Times New Roman" w:cs="Times New Roman"/>
          <w:sz w:val="18"/>
          <w:szCs w:val="18"/>
        </w:rPr>
      </w:pPr>
    </w:p>
    <w:p w:rsidR="00BC4597" w:rsidRDefault="00BC4597" w:rsidP="00135D80">
      <w:pPr>
        <w:spacing w:before="120" w:after="0"/>
        <w:ind w:firstLine="567"/>
        <w:jc w:val="center"/>
        <w:rPr>
          <w:rFonts w:ascii="Times New Roman" w:hAnsi="Times New Roman" w:cs="Times New Roman"/>
        </w:rPr>
      </w:pPr>
    </w:p>
    <w:p w:rsidR="00135D80" w:rsidRPr="00BC4597" w:rsidRDefault="00135D80" w:rsidP="00BC4597">
      <w:pPr>
        <w:spacing w:before="120" w:after="0"/>
        <w:jc w:val="center"/>
        <w:rPr>
          <w:rFonts w:ascii="Times New Roman" w:hAnsi="Times New Roman" w:cs="Times New Roman"/>
        </w:rPr>
      </w:pPr>
      <w:r w:rsidRPr="00BC4597">
        <w:rPr>
          <w:rFonts w:ascii="Times New Roman" w:hAnsi="Times New Roman" w:cs="Times New Roman"/>
        </w:rPr>
        <w:t>Figure 6. (a). Photomicrograph of lamalginite set in oil shale sample of the Sangkarewang Formation, Ombilin area (Fluorescence mode). (Source Fatimah, 2009). (b). Photomicrograph of lamalginite (lamelar form) and (?)Botryococcus-telalginite (subrounded form) set in oil shale of Kiliran Formation (Fluorescence mode).</w:t>
      </w:r>
    </w:p>
    <w:p w:rsidR="00135D80" w:rsidRPr="005D4961" w:rsidRDefault="00135D80" w:rsidP="00135D80">
      <w:pPr>
        <w:spacing w:after="0"/>
        <w:jc w:val="both"/>
        <w:rPr>
          <w:rFonts w:ascii="Times New Roman" w:hAnsi="Times New Roman" w:cs="Times New Roman"/>
          <w:i/>
          <w:sz w:val="20"/>
          <w:szCs w:val="20"/>
        </w:rPr>
      </w:pPr>
    </w:p>
    <w:p w:rsidR="00E01CF3" w:rsidRPr="00D469FD" w:rsidRDefault="00E46A4E" w:rsidP="00D469FD">
      <w:pPr>
        <w:kinsoku w:val="0"/>
        <w:overflowPunct w:val="0"/>
        <w:spacing w:after="0" w:line="360" w:lineRule="auto"/>
        <w:ind w:firstLine="245"/>
        <w:jc w:val="both"/>
        <w:rPr>
          <w:rFonts w:ascii="Times New Roman" w:hAnsi="Times New Roman" w:cs="Times New Roman"/>
          <w:color w:val="000000"/>
          <w:sz w:val="24"/>
          <w:szCs w:val="24"/>
          <w:lang w:val="en-US"/>
        </w:rPr>
      </w:pPr>
      <w:r w:rsidRPr="00BC4597">
        <w:rPr>
          <w:rFonts w:ascii="Times New Roman" w:hAnsi="Times New Roman" w:cs="Times New Roman"/>
          <w:sz w:val="24"/>
          <w:szCs w:val="24"/>
        </w:rPr>
        <w:t xml:space="preserve">On the basis of </w:t>
      </w:r>
      <w:r w:rsidR="00A71E61" w:rsidRPr="00BC4597">
        <w:rPr>
          <w:rFonts w:ascii="Times New Roman" w:hAnsi="Times New Roman" w:cs="Times New Roman"/>
          <w:sz w:val="24"/>
          <w:szCs w:val="24"/>
        </w:rPr>
        <w:t xml:space="preserve">Cook </w:t>
      </w:r>
      <w:r w:rsidR="00A71E61" w:rsidRPr="00BC4597">
        <w:rPr>
          <w:rFonts w:ascii="Times New Roman" w:hAnsi="Times New Roman" w:cs="Times New Roman"/>
          <w:i/>
          <w:sz w:val="24"/>
          <w:szCs w:val="24"/>
        </w:rPr>
        <w:t>et al</w:t>
      </w:r>
      <w:r w:rsidR="00A71E61">
        <w:rPr>
          <w:rFonts w:ascii="Times New Roman" w:hAnsi="Times New Roman" w:cs="Times New Roman"/>
          <w:sz w:val="24"/>
          <w:szCs w:val="24"/>
        </w:rPr>
        <w:t>. (1981)</w:t>
      </w:r>
      <w:r w:rsidR="00A71E61">
        <w:rPr>
          <w:rFonts w:ascii="Times New Roman" w:hAnsi="Times New Roman" w:cs="Times New Roman"/>
          <w:sz w:val="24"/>
          <w:szCs w:val="24"/>
          <w:lang w:val="en-US"/>
        </w:rPr>
        <w:t>,</w:t>
      </w:r>
      <w:r w:rsidR="00A71E61">
        <w:rPr>
          <w:rFonts w:ascii="Times New Roman" w:hAnsi="Times New Roman" w:cs="Times New Roman"/>
          <w:sz w:val="24"/>
          <w:szCs w:val="24"/>
        </w:rPr>
        <w:t xml:space="preserve"> </w:t>
      </w:r>
      <w:r w:rsidRPr="00BC4597">
        <w:rPr>
          <w:rFonts w:ascii="Times New Roman" w:hAnsi="Times New Roman" w:cs="Times New Roman"/>
          <w:sz w:val="24"/>
          <w:szCs w:val="24"/>
        </w:rPr>
        <w:t>Hutton (1987</w:t>
      </w:r>
      <w:r w:rsidR="00D469FD">
        <w:rPr>
          <w:rFonts w:ascii="Times New Roman" w:hAnsi="Times New Roman" w:cs="Times New Roman"/>
          <w:sz w:val="24"/>
          <w:szCs w:val="24"/>
          <w:lang w:val="en-US"/>
        </w:rPr>
        <w:t>)</w:t>
      </w:r>
      <w:r w:rsidR="00A71E61">
        <w:rPr>
          <w:rFonts w:ascii="Times New Roman" w:hAnsi="Times New Roman" w:cs="Times New Roman"/>
          <w:sz w:val="24"/>
          <w:szCs w:val="24"/>
          <w:lang w:val="en-US"/>
        </w:rPr>
        <w:t xml:space="preserve"> and </w:t>
      </w:r>
      <w:r w:rsidR="00D469FD">
        <w:rPr>
          <w:rFonts w:ascii="Times New Roman" w:hAnsi="Times New Roman" w:cs="Times New Roman"/>
          <w:sz w:val="24"/>
          <w:szCs w:val="24"/>
          <w:lang w:val="en-US"/>
        </w:rPr>
        <w:t xml:space="preserve">Hutton </w:t>
      </w:r>
      <w:r w:rsidR="00D469FD" w:rsidRPr="00D469FD">
        <w:rPr>
          <w:rFonts w:ascii="Times New Roman" w:hAnsi="Times New Roman" w:cs="Times New Roman"/>
          <w:i/>
          <w:sz w:val="24"/>
          <w:szCs w:val="24"/>
          <w:lang w:val="en-US"/>
        </w:rPr>
        <w:t>et al</w:t>
      </w:r>
      <w:r w:rsidR="00D469FD">
        <w:rPr>
          <w:rFonts w:ascii="Times New Roman" w:hAnsi="Times New Roman" w:cs="Times New Roman"/>
          <w:sz w:val="24"/>
          <w:szCs w:val="24"/>
          <w:lang w:val="en-US"/>
        </w:rPr>
        <w:t>. (</w:t>
      </w:r>
      <w:r w:rsidR="00A71E61">
        <w:rPr>
          <w:rFonts w:ascii="Times New Roman" w:hAnsi="Times New Roman" w:cs="Times New Roman"/>
          <w:sz w:val="24"/>
          <w:szCs w:val="24"/>
          <w:lang w:val="en-US"/>
        </w:rPr>
        <w:t>1988</w:t>
      </w:r>
      <w:r w:rsidRPr="00BC4597">
        <w:rPr>
          <w:rFonts w:ascii="Times New Roman" w:hAnsi="Times New Roman" w:cs="Times New Roman"/>
          <w:sz w:val="24"/>
          <w:szCs w:val="24"/>
        </w:rPr>
        <w:t xml:space="preserve">) </w:t>
      </w:r>
      <w:r w:rsidR="00A71E61">
        <w:rPr>
          <w:rFonts w:ascii="Times New Roman" w:hAnsi="Times New Roman" w:cs="Times New Roman"/>
          <w:sz w:val="24"/>
          <w:szCs w:val="24"/>
        </w:rPr>
        <w:t>terminolog</w:t>
      </w:r>
      <w:r w:rsidR="00A71E61">
        <w:rPr>
          <w:rFonts w:ascii="Times New Roman" w:hAnsi="Times New Roman" w:cs="Times New Roman"/>
          <w:sz w:val="24"/>
          <w:szCs w:val="24"/>
          <w:lang w:val="en-US"/>
        </w:rPr>
        <w:t>ies</w:t>
      </w:r>
      <w:r w:rsidRPr="00BC4597">
        <w:rPr>
          <w:rFonts w:ascii="Times New Roman" w:hAnsi="Times New Roman" w:cs="Times New Roman"/>
          <w:sz w:val="24"/>
          <w:szCs w:val="24"/>
        </w:rPr>
        <w:t xml:space="preserve">, due to the organic matter comprises predominantly algae of typical lamalginite, </w:t>
      </w:r>
      <w:r w:rsidR="00A71E61">
        <w:rPr>
          <w:rFonts w:ascii="Times New Roman" w:hAnsi="Times New Roman" w:cs="Times New Roman"/>
          <w:sz w:val="24"/>
          <w:szCs w:val="24"/>
          <w:lang w:val="en-US"/>
        </w:rPr>
        <w:t xml:space="preserve">along </w:t>
      </w:r>
      <w:r w:rsidRPr="00BC4597">
        <w:rPr>
          <w:rFonts w:ascii="Times New Roman" w:hAnsi="Times New Roman" w:cs="Times New Roman"/>
          <w:sz w:val="24"/>
          <w:szCs w:val="24"/>
        </w:rPr>
        <w:t xml:space="preserve">with a very minor amount of probable </w:t>
      </w:r>
      <w:r w:rsidRPr="00BC4597">
        <w:rPr>
          <w:rFonts w:ascii="Times New Roman" w:hAnsi="Times New Roman" w:cs="Times New Roman"/>
          <w:i/>
          <w:sz w:val="24"/>
          <w:szCs w:val="24"/>
        </w:rPr>
        <w:t xml:space="preserve">Botryococcus </w:t>
      </w:r>
      <w:r w:rsidR="00D469FD">
        <w:rPr>
          <w:rFonts w:ascii="Times New Roman" w:hAnsi="Times New Roman" w:cs="Times New Roman"/>
          <w:sz w:val="24"/>
          <w:szCs w:val="24"/>
        </w:rPr>
        <w:t xml:space="preserve">telalginite, </w:t>
      </w:r>
      <w:r w:rsidRPr="00BC4597">
        <w:rPr>
          <w:rFonts w:ascii="Times New Roman" w:hAnsi="Times New Roman" w:cs="Times New Roman"/>
          <w:sz w:val="24"/>
          <w:szCs w:val="24"/>
        </w:rPr>
        <w:t xml:space="preserve">the shales and mudstones </w:t>
      </w:r>
      <w:r w:rsidR="00D469FD">
        <w:rPr>
          <w:rFonts w:ascii="Times New Roman" w:hAnsi="Times New Roman" w:cs="Times New Roman"/>
          <w:sz w:val="24"/>
          <w:szCs w:val="24"/>
          <w:lang w:val="en-US"/>
        </w:rPr>
        <w:t xml:space="preserve">of Sangkarewang and Kiliran Formations </w:t>
      </w:r>
      <w:r w:rsidRPr="00BC4597">
        <w:rPr>
          <w:rFonts w:ascii="Times New Roman" w:hAnsi="Times New Roman" w:cs="Times New Roman"/>
          <w:sz w:val="24"/>
          <w:szCs w:val="24"/>
        </w:rPr>
        <w:t xml:space="preserve">can </w:t>
      </w:r>
      <w:r w:rsidR="00A71E61">
        <w:rPr>
          <w:rFonts w:ascii="Times New Roman" w:hAnsi="Times New Roman" w:cs="Times New Roman"/>
          <w:sz w:val="24"/>
          <w:szCs w:val="24"/>
        </w:rPr>
        <w:t>be classified as lamosites</w:t>
      </w:r>
      <w:r w:rsidR="00A71E61">
        <w:rPr>
          <w:rFonts w:ascii="Times New Roman" w:hAnsi="Times New Roman" w:cs="Times New Roman"/>
          <w:sz w:val="24"/>
          <w:szCs w:val="24"/>
          <w:lang w:val="en-US"/>
        </w:rPr>
        <w:t xml:space="preserve"> of Rundle-type</w:t>
      </w:r>
      <w:r w:rsidR="00E01CF3" w:rsidRPr="00BC4597">
        <w:rPr>
          <w:rFonts w:ascii="Times New Roman" w:hAnsi="Times New Roman" w:cs="Times New Roman"/>
          <w:sz w:val="24"/>
          <w:szCs w:val="24"/>
        </w:rPr>
        <w:t xml:space="preserve">.  </w:t>
      </w:r>
      <w:r w:rsidR="00A71E61">
        <w:rPr>
          <w:rFonts w:ascii="Times New Roman" w:hAnsi="Times New Roman" w:cs="Times New Roman"/>
          <w:color w:val="231F20"/>
          <w:spacing w:val="-1"/>
          <w:sz w:val="24"/>
          <w:szCs w:val="24"/>
          <w:lang w:val="en-US"/>
        </w:rPr>
        <w:t>Hutton (1987) indicated that the Rundle-type oil shales were derived mainly from green algae deposited in a fresh to brackish lacustrine condition.</w:t>
      </w:r>
      <w:r w:rsidR="00D469FD">
        <w:rPr>
          <w:rFonts w:ascii="Times New Roman" w:hAnsi="Times New Roman" w:cs="Times New Roman"/>
          <w:color w:val="000000"/>
          <w:sz w:val="24"/>
          <w:szCs w:val="24"/>
          <w:lang w:val="en-US"/>
        </w:rPr>
        <w:t xml:space="preserve"> Thereby, the Sangkarewang (Talawi and </w:t>
      </w:r>
      <w:r w:rsidR="00D469FD">
        <w:rPr>
          <w:rFonts w:ascii="Times New Roman" w:hAnsi="Times New Roman" w:cs="Times New Roman"/>
          <w:color w:val="000000"/>
          <w:sz w:val="24"/>
          <w:szCs w:val="24"/>
          <w:lang w:val="en-US"/>
        </w:rPr>
        <w:lastRenderedPageBreak/>
        <w:t xml:space="preserve">Lubuktaruk) and Kiliran Formation were deposited in </w:t>
      </w:r>
      <w:r w:rsidR="00D469FD">
        <w:rPr>
          <w:rFonts w:ascii="Times New Roman" w:hAnsi="Times New Roman" w:cs="Times New Roman"/>
          <w:color w:val="231F20"/>
          <w:spacing w:val="-1"/>
          <w:sz w:val="24"/>
          <w:szCs w:val="24"/>
          <w:lang w:val="en-US"/>
        </w:rPr>
        <w:t>a fresh to brackish lacustrine environment.</w:t>
      </w:r>
    </w:p>
    <w:p w:rsidR="00F81C27" w:rsidRDefault="00BB3FE4" w:rsidP="00BB3FE4">
      <w:pPr>
        <w:spacing w:after="0"/>
        <w:jc w:val="center"/>
        <w:rPr>
          <w:rFonts w:ascii="Times New Roman" w:hAnsi="Times New Roman" w:cs="Times New Roman"/>
          <w:sz w:val="18"/>
          <w:szCs w:val="18"/>
        </w:rPr>
      </w:pPr>
      <w:r>
        <w:rPr>
          <w:noProof/>
          <w:lang w:val="en-US"/>
        </w:rPr>
        <w:drawing>
          <wp:inline distT="0" distB="0" distL="0" distR="0">
            <wp:extent cx="3724452" cy="2806810"/>
            <wp:effectExtent l="0" t="0" r="9525" b="0"/>
            <wp:docPr id="7" name="Picture 7" descr="K:\Kuliah Rian&amp;Iqbal\OS Karbindo Potret\New folder\Scan10017 cro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uliah Rian&amp;Iqbal\OS Karbindo Potret\New folder\Scan10017 croped.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33050" cy="2813290"/>
                    </a:xfrm>
                    <a:prstGeom prst="rect">
                      <a:avLst/>
                    </a:prstGeom>
                    <a:noFill/>
                    <a:ln>
                      <a:noFill/>
                    </a:ln>
                  </pic:spPr>
                </pic:pic>
              </a:graphicData>
            </a:graphic>
          </wp:inline>
        </w:drawing>
      </w:r>
    </w:p>
    <w:p w:rsidR="00BB3FE4" w:rsidRDefault="00BB3FE4" w:rsidP="00F81C27">
      <w:pPr>
        <w:spacing w:after="0"/>
        <w:rPr>
          <w:rFonts w:ascii="Times New Roman" w:hAnsi="Times New Roman" w:cs="Times New Roman"/>
          <w:sz w:val="18"/>
          <w:szCs w:val="18"/>
        </w:rPr>
      </w:pPr>
    </w:p>
    <w:p w:rsidR="00CB636C" w:rsidRPr="00BB3FE4" w:rsidRDefault="00CB636C" w:rsidP="00BB3FE4">
      <w:pPr>
        <w:spacing w:after="0"/>
        <w:jc w:val="center"/>
        <w:rPr>
          <w:rFonts w:ascii="Times New Roman" w:hAnsi="Times New Roman" w:cs="Times New Roman"/>
        </w:rPr>
      </w:pPr>
      <w:r w:rsidRPr="00BB3FE4">
        <w:rPr>
          <w:rFonts w:ascii="Times New Roman" w:hAnsi="Times New Roman" w:cs="Times New Roman"/>
        </w:rPr>
        <w:t>Figure 7. SEM photomicrograph of shale showing organic matter of typical lamalginite (A-E, 1-2) (Suwarna et al., 2000).</w:t>
      </w:r>
    </w:p>
    <w:p w:rsidR="00CB636C" w:rsidRDefault="00CB636C" w:rsidP="00F81C27">
      <w:pPr>
        <w:spacing w:after="0"/>
        <w:rPr>
          <w:rFonts w:ascii="Times New Roman" w:hAnsi="Times New Roman" w:cs="Times New Roman"/>
          <w:sz w:val="18"/>
          <w:szCs w:val="18"/>
        </w:rPr>
      </w:pPr>
    </w:p>
    <w:p w:rsidR="00CB636C" w:rsidRDefault="00CB636C" w:rsidP="00F81C27">
      <w:pPr>
        <w:spacing w:after="0"/>
        <w:rPr>
          <w:rFonts w:ascii="Times New Roman" w:hAnsi="Times New Roman" w:cs="Times New Roman"/>
          <w:sz w:val="18"/>
          <w:szCs w:val="18"/>
        </w:rPr>
      </w:pPr>
    </w:p>
    <w:p w:rsidR="00CB636C" w:rsidRDefault="00CB636C" w:rsidP="00BB3FE4">
      <w:pPr>
        <w:spacing w:after="0"/>
        <w:jc w:val="center"/>
        <w:rPr>
          <w:rFonts w:ascii="Times New Roman" w:hAnsi="Times New Roman" w:cs="Times New Roman"/>
          <w:sz w:val="18"/>
          <w:szCs w:val="18"/>
        </w:rPr>
      </w:pPr>
      <w:r>
        <w:rPr>
          <w:rFonts w:ascii="Times New Roman" w:hAnsi="Times New Roman" w:cs="Times New Roman"/>
          <w:noProof/>
          <w:sz w:val="18"/>
          <w:szCs w:val="18"/>
          <w:lang w:val="en-US"/>
        </w:rPr>
        <w:drawing>
          <wp:inline distT="0" distB="0" distL="0" distR="0">
            <wp:extent cx="3660630" cy="2806810"/>
            <wp:effectExtent l="0" t="0" r="0" b="0"/>
            <wp:docPr id="8" name="Picture 8" descr="K:\Kuliah Rian&amp;Iqbal\OS Karbindo Potret\New folder\Scan1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Kuliah Rian&amp;Iqbal\OS Karbindo Potret\New folder\Scan10002.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65336" cy="2810418"/>
                    </a:xfrm>
                    <a:prstGeom prst="rect">
                      <a:avLst/>
                    </a:prstGeom>
                    <a:noFill/>
                    <a:ln>
                      <a:noFill/>
                    </a:ln>
                  </pic:spPr>
                </pic:pic>
              </a:graphicData>
            </a:graphic>
          </wp:inline>
        </w:drawing>
      </w:r>
    </w:p>
    <w:p w:rsidR="00CB636C" w:rsidRDefault="00CB636C" w:rsidP="00F81C27">
      <w:pPr>
        <w:spacing w:after="0"/>
        <w:rPr>
          <w:rFonts w:ascii="Times New Roman" w:hAnsi="Times New Roman" w:cs="Times New Roman"/>
          <w:sz w:val="18"/>
          <w:szCs w:val="18"/>
        </w:rPr>
      </w:pPr>
    </w:p>
    <w:p w:rsidR="00CB636C" w:rsidRPr="00BB3FE4" w:rsidRDefault="00CB636C" w:rsidP="00BB3FE4">
      <w:pPr>
        <w:spacing w:after="0"/>
        <w:jc w:val="center"/>
        <w:rPr>
          <w:rFonts w:ascii="Times New Roman" w:hAnsi="Times New Roman" w:cs="Times New Roman"/>
        </w:rPr>
      </w:pPr>
      <w:r w:rsidRPr="00BB3FE4">
        <w:rPr>
          <w:rFonts w:ascii="Times New Roman" w:hAnsi="Times New Roman" w:cs="Times New Roman"/>
        </w:rPr>
        <w:t>Figure 8. SEM photomicrograph of organic matter of typical alginite (?Botryococcus) (B-C, 3-4, and G-I, 3-8) and some drop oil (bitumen) within disordered kaolinite of Kiliran oil shale (Suwarna et al., 2000).</w:t>
      </w:r>
    </w:p>
    <w:p w:rsidR="00CB636C" w:rsidRDefault="00CB636C" w:rsidP="00F81C27">
      <w:pPr>
        <w:spacing w:after="120" w:line="240" w:lineRule="auto"/>
        <w:jc w:val="center"/>
        <w:rPr>
          <w:rFonts w:ascii="Times New Roman" w:hAnsi="Times New Roman" w:cs="Times New Roman"/>
          <w:sz w:val="18"/>
          <w:szCs w:val="18"/>
        </w:rPr>
      </w:pPr>
    </w:p>
    <w:p w:rsidR="00BB3FE4" w:rsidRDefault="00BB3FE4" w:rsidP="00F81C27">
      <w:pPr>
        <w:spacing w:after="120" w:line="240" w:lineRule="auto"/>
        <w:jc w:val="center"/>
        <w:rPr>
          <w:rFonts w:ascii="Times New Roman" w:hAnsi="Times New Roman" w:cs="Times New Roman"/>
          <w:sz w:val="18"/>
          <w:szCs w:val="18"/>
        </w:rPr>
      </w:pPr>
    </w:p>
    <w:p w:rsidR="00BB3FE4" w:rsidRDefault="00BB3FE4" w:rsidP="00F81C27">
      <w:pPr>
        <w:spacing w:after="120" w:line="240" w:lineRule="auto"/>
        <w:jc w:val="center"/>
        <w:rPr>
          <w:rFonts w:ascii="Times New Roman" w:hAnsi="Times New Roman" w:cs="Times New Roman"/>
          <w:sz w:val="18"/>
          <w:szCs w:val="18"/>
        </w:rPr>
      </w:pPr>
    </w:p>
    <w:p w:rsidR="00BB3FE4" w:rsidRPr="00D469FD" w:rsidRDefault="00BB3FE4" w:rsidP="00D469FD">
      <w:pPr>
        <w:spacing w:after="120" w:line="240" w:lineRule="auto"/>
        <w:rPr>
          <w:rFonts w:ascii="Times New Roman" w:hAnsi="Times New Roman" w:cs="Times New Roman"/>
          <w:sz w:val="18"/>
          <w:szCs w:val="18"/>
          <w:lang w:val="en-US"/>
        </w:rPr>
      </w:pPr>
    </w:p>
    <w:p w:rsidR="00D469FD" w:rsidRDefault="00D469FD" w:rsidP="00F81C27">
      <w:pPr>
        <w:spacing w:after="120" w:line="240" w:lineRule="auto"/>
        <w:jc w:val="center"/>
        <w:rPr>
          <w:rFonts w:ascii="Times New Roman" w:hAnsi="Times New Roman" w:cs="Times New Roman"/>
          <w:lang w:val="en-US"/>
        </w:rPr>
      </w:pPr>
    </w:p>
    <w:p w:rsidR="00F81C27" w:rsidRPr="00BB3FE4" w:rsidRDefault="00F81C27" w:rsidP="00F81C27">
      <w:pPr>
        <w:spacing w:after="120" w:line="240" w:lineRule="auto"/>
        <w:jc w:val="center"/>
        <w:rPr>
          <w:rFonts w:ascii="Times New Roman" w:hAnsi="Times New Roman" w:cs="Times New Roman"/>
        </w:rPr>
      </w:pPr>
      <w:r w:rsidRPr="00BB3FE4">
        <w:rPr>
          <w:rFonts w:ascii="Times New Roman" w:hAnsi="Times New Roman" w:cs="Times New Roman"/>
        </w:rPr>
        <w:lastRenderedPageBreak/>
        <w:t>Table 4.  SEM Characteristics of Some Selected Oil Shales of the Sangkarewang and Kiliran Formations</w:t>
      </w:r>
      <w:r w:rsidR="00BB3FE4">
        <w:rPr>
          <w:rFonts w:ascii="Times New Roman" w:hAnsi="Times New Roman" w:cs="Times New Roman"/>
        </w:rPr>
        <w:t xml:space="preserve"> (Suwarna et al., 2000 and 2001)</w:t>
      </w:r>
    </w:p>
    <w:tbl>
      <w:tblPr>
        <w:tblW w:w="9056" w:type="dxa"/>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8"/>
        <w:gridCol w:w="914"/>
        <w:gridCol w:w="1030"/>
        <w:gridCol w:w="1125"/>
        <w:gridCol w:w="2221"/>
        <w:gridCol w:w="1410"/>
        <w:gridCol w:w="1198"/>
      </w:tblGrid>
      <w:tr w:rsidR="00F81C27" w:rsidRPr="005D4961" w:rsidTr="00F81C27">
        <w:trPr>
          <w:trHeight w:val="315"/>
          <w:jc w:val="center"/>
        </w:trPr>
        <w:tc>
          <w:tcPr>
            <w:tcW w:w="1158" w:type="dxa"/>
            <w:shd w:val="clear" w:color="auto" w:fill="auto"/>
            <w:noWrap/>
            <w:vAlign w:val="center"/>
            <w:hideMark/>
          </w:tcPr>
          <w:p w:rsidR="00F81C27" w:rsidRPr="005D4961" w:rsidRDefault="00F81C27" w:rsidP="00F81C27">
            <w:pPr>
              <w:spacing w:after="0" w:line="240" w:lineRule="auto"/>
              <w:jc w:val="center"/>
              <w:rPr>
                <w:rFonts w:ascii="Times New Roman" w:eastAsia="Times New Roman" w:hAnsi="Times New Roman" w:cs="Times New Roman"/>
                <w:bCs/>
                <w:sz w:val="16"/>
                <w:szCs w:val="16"/>
                <w:lang w:eastAsia="id-ID"/>
              </w:rPr>
            </w:pPr>
            <w:r w:rsidRPr="005D4961">
              <w:rPr>
                <w:rFonts w:ascii="Times New Roman" w:eastAsia="Times New Roman" w:hAnsi="Times New Roman" w:cs="Times New Roman"/>
                <w:bCs/>
                <w:sz w:val="16"/>
                <w:szCs w:val="16"/>
                <w:lang w:eastAsia="id-ID"/>
              </w:rPr>
              <w:t>Sample Number</w:t>
            </w:r>
          </w:p>
        </w:tc>
        <w:tc>
          <w:tcPr>
            <w:tcW w:w="914" w:type="dxa"/>
            <w:shd w:val="clear" w:color="auto" w:fill="auto"/>
            <w:noWrap/>
            <w:vAlign w:val="center"/>
            <w:hideMark/>
          </w:tcPr>
          <w:p w:rsidR="00F81C27" w:rsidRPr="005D4961" w:rsidRDefault="00F81C27" w:rsidP="00F81C27">
            <w:pPr>
              <w:spacing w:after="0" w:line="240" w:lineRule="auto"/>
              <w:jc w:val="center"/>
              <w:rPr>
                <w:rFonts w:ascii="Times New Roman" w:eastAsia="Times New Roman" w:hAnsi="Times New Roman" w:cs="Times New Roman"/>
                <w:bCs/>
                <w:sz w:val="16"/>
                <w:szCs w:val="16"/>
                <w:lang w:eastAsia="id-ID"/>
              </w:rPr>
            </w:pPr>
            <w:r w:rsidRPr="005D4961">
              <w:rPr>
                <w:rFonts w:ascii="Times New Roman" w:eastAsia="Times New Roman" w:hAnsi="Times New Roman" w:cs="Times New Roman"/>
                <w:bCs/>
                <w:sz w:val="16"/>
                <w:szCs w:val="16"/>
                <w:lang w:eastAsia="id-ID"/>
              </w:rPr>
              <w:t>Lithology</w:t>
            </w:r>
          </w:p>
        </w:tc>
        <w:tc>
          <w:tcPr>
            <w:tcW w:w="1030" w:type="dxa"/>
            <w:shd w:val="clear" w:color="auto" w:fill="auto"/>
            <w:noWrap/>
            <w:vAlign w:val="center"/>
            <w:hideMark/>
          </w:tcPr>
          <w:p w:rsidR="00F81C27" w:rsidRPr="005D4961" w:rsidRDefault="00F81C27" w:rsidP="00F81C27">
            <w:pPr>
              <w:spacing w:after="0" w:line="240" w:lineRule="auto"/>
              <w:jc w:val="center"/>
              <w:rPr>
                <w:rFonts w:ascii="Times New Roman" w:eastAsia="Times New Roman" w:hAnsi="Times New Roman" w:cs="Times New Roman"/>
                <w:bCs/>
                <w:sz w:val="16"/>
                <w:szCs w:val="16"/>
                <w:lang w:eastAsia="id-ID"/>
              </w:rPr>
            </w:pPr>
            <w:r w:rsidRPr="005D4961">
              <w:rPr>
                <w:rFonts w:ascii="Times New Roman" w:eastAsia="Times New Roman" w:hAnsi="Times New Roman" w:cs="Times New Roman"/>
                <w:bCs/>
                <w:sz w:val="16"/>
                <w:szCs w:val="16"/>
                <w:lang w:eastAsia="id-ID"/>
              </w:rPr>
              <w:t>Clay Mineral</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bCs/>
                <w:sz w:val="16"/>
                <w:szCs w:val="16"/>
                <w:lang w:eastAsia="id-ID"/>
              </w:rPr>
            </w:pPr>
            <w:r w:rsidRPr="005D4961">
              <w:rPr>
                <w:rFonts w:ascii="Times New Roman" w:eastAsia="Times New Roman" w:hAnsi="Times New Roman" w:cs="Times New Roman"/>
                <w:bCs/>
                <w:sz w:val="16"/>
                <w:szCs w:val="16"/>
                <w:lang w:eastAsia="id-ID"/>
              </w:rPr>
              <w:t>"Fossil Fuel" emelent</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bCs/>
                <w:sz w:val="16"/>
                <w:szCs w:val="16"/>
                <w:lang w:eastAsia="id-ID"/>
              </w:rPr>
            </w:pPr>
            <w:r w:rsidRPr="005D4961">
              <w:rPr>
                <w:rFonts w:ascii="Times New Roman" w:eastAsia="Times New Roman" w:hAnsi="Times New Roman" w:cs="Times New Roman"/>
                <w:bCs/>
                <w:sz w:val="16"/>
                <w:szCs w:val="16"/>
                <w:lang w:eastAsia="id-ID"/>
              </w:rPr>
              <w:t>Diagenesis Character</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bCs/>
                <w:sz w:val="16"/>
                <w:szCs w:val="16"/>
                <w:lang w:eastAsia="id-ID"/>
              </w:rPr>
            </w:pPr>
            <w:r w:rsidRPr="005D4961">
              <w:rPr>
                <w:rFonts w:ascii="Times New Roman" w:eastAsia="Times New Roman" w:hAnsi="Times New Roman" w:cs="Times New Roman"/>
                <w:bCs/>
                <w:sz w:val="16"/>
                <w:szCs w:val="16"/>
                <w:lang w:eastAsia="id-ID"/>
              </w:rPr>
              <w:t xml:space="preserve">Diagenesis Regime </w:t>
            </w:r>
          </w:p>
        </w:tc>
        <w:tc>
          <w:tcPr>
            <w:tcW w:w="1198" w:type="dxa"/>
            <w:shd w:val="clear" w:color="auto" w:fill="auto"/>
            <w:noWrap/>
            <w:vAlign w:val="center"/>
            <w:hideMark/>
          </w:tcPr>
          <w:p w:rsidR="00F81C27" w:rsidRPr="005D4961" w:rsidRDefault="00F81C27" w:rsidP="00F81C27">
            <w:pPr>
              <w:spacing w:after="0" w:line="240" w:lineRule="auto"/>
              <w:jc w:val="center"/>
              <w:rPr>
                <w:rFonts w:ascii="Times New Roman" w:eastAsia="Times New Roman" w:hAnsi="Times New Roman" w:cs="Times New Roman"/>
                <w:bCs/>
                <w:sz w:val="16"/>
                <w:szCs w:val="16"/>
                <w:lang w:eastAsia="id-ID"/>
              </w:rPr>
            </w:pPr>
            <w:r w:rsidRPr="005D4961">
              <w:rPr>
                <w:rFonts w:ascii="Times New Roman" w:eastAsia="Times New Roman" w:hAnsi="Times New Roman" w:cs="Times New Roman"/>
                <w:bCs/>
                <w:sz w:val="16"/>
                <w:szCs w:val="16"/>
                <w:lang w:eastAsia="id-ID"/>
              </w:rPr>
              <w:t>Remaks</w:t>
            </w:r>
          </w:p>
        </w:tc>
      </w:tr>
      <w:tr w:rsidR="00F81C27" w:rsidRPr="005D4961" w:rsidTr="00F81C27">
        <w:trPr>
          <w:trHeight w:val="625"/>
          <w:jc w:val="center"/>
        </w:trPr>
        <w:tc>
          <w:tcPr>
            <w:tcW w:w="1158" w:type="dxa"/>
            <w:tcBorders>
              <w:bottom w:val="single" w:sz="4" w:space="0" w:color="auto"/>
            </w:tcBorders>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NS. 06 A 1 * Tg. Balit</w:t>
            </w:r>
          </w:p>
        </w:tc>
        <w:tc>
          <w:tcPr>
            <w:tcW w:w="914" w:type="dxa"/>
            <w:tcBorders>
              <w:bottom w:val="single" w:sz="4" w:space="0" w:color="auto"/>
            </w:tcBorders>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Claystone / mudstone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Mixed kaolinite and smectite.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Abundant alginite of typically "</w:t>
            </w:r>
            <w:r w:rsidRPr="005D4961">
              <w:rPr>
                <w:rFonts w:ascii="Times New Roman" w:eastAsia="Times New Roman" w:hAnsi="Times New Roman" w:cs="Times New Roman"/>
                <w:i/>
                <w:iCs/>
                <w:sz w:val="16"/>
                <w:szCs w:val="16"/>
                <w:lang w:eastAsia="id-ID"/>
              </w:rPr>
              <w:t>Pediastrum</w:t>
            </w:r>
            <w:r w:rsidRPr="005D4961">
              <w:rPr>
                <w:rFonts w:ascii="Times New Roman" w:eastAsia="Times New Roman" w:hAnsi="Times New Roman" w:cs="Times New Roman"/>
                <w:sz w:val="16"/>
                <w:szCs w:val="16"/>
                <w:lang w:eastAsia="id-ID"/>
              </w:rPr>
              <w:t>".</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 dense, the presence of clay minerals (kaolinite, smectite) and micropores among clay minerals.</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Late Eodiagenesis to 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Had been buried of not more than 1000 m deep.</w:t>
            </w:r>
          </w:p>
        </w:tc>
      </w:tr>
      <w:tr w:rsidR="00F81C27" w:rsidRPr="005D4961" w:rsidTr="00F81C27">
        <w:trPr>
          <w:trHeight w:val="315"/>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NS. 08 A (*) S. Sipang</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Shale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Smectite, minor illite and kaolinite.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 xml:space="preserve">Alginite of typically </w:t>
            </w:r>
            <w:r w:rsidRPr="005D4961">
              <w:rPr>
                <w:rFonts w:ascii="Times New Roman" w:eastAsia="Times New Roman" w:hAnsi="Times New Roman" w:cs="Times New Roman"/>
                <w:i/>
                <w:iCs/>
                <w:sz w:val="16"/>
                <w:szCs w:val="16"/>
                <w:lang w:eastAsia="id-ID"/>
              </w:rPr>
              <w:t>Pediastrum</w:t>
            </w:r>
            <w:r w:rsidRPr="005D4961">
              <w:rPr>
                <w:rFonts w:ascii="Times New Roman" w:eastAsia="Times New Roman" w:hAnsi="Times New Roman" w:cs="Times New Roman"/>
                <w:sz w:val="16"/>
                <w:szCs w:val="16"/>
                <w:lang w:eastAsia="id-ID"/>
              </w:rPr>
              <w:t xml:space="preserve"> (lamalginite).</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Compaction, the presence of clay minerals (smectite, and minor illite and kaolinite).</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Eodiagenesis - 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Probably had been buried of less than 1000 m deep.</w:t>
            </w:r>
          </w:p>
        </w:tc>
      </w:tr>
      <w:tr w:rsidR="00F81C27" w:rsidRPr="005D4961" w:rsidTr="00F81C27">
        <w:trPr>
          <w:trHeight w:val="335"/>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NS. 08 L (*) S. Sipang</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Mudstone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Smectite-illite, and kaolinite.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Alginite (lamalginite)</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Compaction and dense the presence of smectite-illite, and kaolinite.</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Had been buried of less than 1000 m deep.</w:t>
            </w:r>
          </w:p>
        </w:tc>
      </w:tr>
      <w:tr w:rsidR="00F81C27" w:rsidRPr="005D4961" w:rsidTr="00F81C27">
        <w:trPr>
          <w:trHeight w:val="315"/>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NS. 12 A (*) Bt. Porogadang)</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Shale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Smectite-illite.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Alginite of "</w:t>
            </w:r>
            <w:r w:rsidRPr="005D4961">
              <w:rPr>
                <w:rFonts w:ascii="Times New Roman" w:eastAsia="Times New Roman" w:hAnsi="Times New Roman" w:cs="Times New Roman"/>
                <w:i/>
                <w:iCs/>
                <w:sz w:val="16"/>
                <w:szCs w:val="16"/>
                <w:lang w:eastAsia="id-ID"/>
              </w:rPr>
              <w:t>Pediastrum</w:t>
            </w:r>
            <w:r w:rsidRPr="005D4961">
              <w:rPr>
                <w:rFonts w:ascii="Times New Roman" w:eastAsia="Times New Roman" w:hAnsi="Times New Roman" w:cs="Times New Roman"/>
                <w:sz w:val="16"/>
                <w:szCs w:val="16"/>
                <w:lang w:eastAsia="id-ID"/>
              </w:rPr>
              <w:t>" type (lamalginite).</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 and dense, directed clay minerals, and the presence of smectite and illite.</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Had been buried of more than 1000 m deep.</w:t>
            </w:r>
          </w:p>
        </w:tc>
      </w:tr>
      <w:tr w:rsidR="00F81C27" w:rsidRPr="005D4961" w:rsidTr="00F81C27">
        <w:trPr>
          <w:trHeight w:val="915"/>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NS. 12 E 4 (*) (Bt. Porogadang)</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Sandstone, fine-grained</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Smectite, illite, and minor kaolinite.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Many vitrinite and liptinite as sporanite.</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Compaction and the presence of clay minerals (smectite-illite).</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Late Eodiagenesis to 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Had been buried of more than 1000 m deep.</w:t>
            </w:r>
          </w:p>
        </w:tc>
      </w:tr>
      <w:tr w:rsidR="00F81C27" w:rsidRPr="005D4961" w:rsidTr="00F81C27">
        <w:trPr>
          <w:trHeight w:val="765"/>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NS. 18 A (*) S. Sangkarewang</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Sandstone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Kaolinite and smectite-illite.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Rare to absent.</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Compaction, the presence of clay minerals (smectite-illite and kaolinite).</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Late Eodiagenesis to 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Probably had been buried of  not more 1000 m deep.</w:t>
            </w:r>
          </w:p>
        </w:tc>
      </w:tr>
      <w:tr w:rsidR="00F81C27" w:rsidRPr="005D4961" w:rsidTr="00F81C27">
        <w:trPr>
          <w:trHeight w:val="1020"/>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RH. 02 A (*) Padang-ganting)</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Shale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Smectite-illite, and a little kaolinite.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Abundant lamalginite, typically "</w:t>
            </w:r>
            <w:r w:rsidRPr="005D4961">
              <w:rPr>
                <w:rFonts w:ascii="Times New Roman" w:eastAsia="Times New Roman" w:hAnsi="Times New Roman" w:cs="Times New Roman"/>
                <w:i/>
                <w:iCs/>
                <w:sz w:val="16"/>
                <w:szCs w:val="16"/>
                <w:lang w:eastAsia="id-ID"/>
              </w:rPr>
              <w:t>Pediastrum</w:t>
            </w:r>
            <w:r w:rsidRPr="005D4961">
              <w:rPr>
                <w:rFonts w:ascii="Times New Roman" w:eastAsia="Times New Roman" w:hAnsi="Times New Roman" w:cs="Times New Roman"/>
                <w:sz w:val="16"/>
                <w:szCs w:val="16"/>
                <w:lang w:eastAsia="id-ID"/>
              </w:rPr>
              <w:t>".</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 dense, the presence of clay minerals (smectite-illite), and micropores among them.</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Late Eodiagenesis to 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Probably had been buried of  not more 1000 m deep.</w:t>
            </w:r>
          </w:p>
        </w:tc>
      </w:tr>
      <w:tr w:rsidR="00F81C27" w:rsidRPr="005D4961" w:rsidTr="00F81C27">
        <w:trPr>
          <w:trHeight w:val="765"/>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HR. 01 E (*) Setangkai (Atar)</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Claystone / mudstone.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Kaolinite.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Rare lamalginite.</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Compaction and the presence of kaolinite.</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Late Eodiagenesis to Early 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Probably had been buried of not more than 1000 m deep.</w:t>
            </w:r>
          </w:p>
        </w:tc>
      </w:tr>
      <w:tr w:rsidR="00F81C27" w:rsidRPr="005D4961" w:rsidTr="00F81C27">
        <w:trPr>
          <w:trHeight w:val="780"/>
          <w:jc w:val="center"/>
        </w:trPr>
        <w:tc>
          <w:tcPr>
            <w:tcW w:w="115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NS. 13 C (**) Kunangan</w:t>
            </w:r>
          </w:p>
        </w:tc>
        <w:tc>
          <w:tcPr>
            <w:tcW w:w="914"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Shale</w:t>
            </w:r>
          </w:p>
        </w:tc>
        <w:tc>
          <w:tcPr>
            <w:tcW w:w="103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Smectite-illite, rare kaolinite.</w:t>
            </w:r>
          </w:p>
        </w:tc>
        <w:tc>
          <w:tcPr>
            <w:tcW w:w="1125"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Abundant lamalginite, typically "Pediastrum".</w:t>
            </w:r>
          </w:p>
        </w:tc>
        <w:tc>
          <w:tcPr>
            <w:tcW w:w="2221"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Compaction and the presence of smectite-illite.</w:t>
            </w:r>
          </w:p>
        </w:tc>
        <w:tc>
          <w:tcPr>
            <w:tcW w:w="1410"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Mesodiagenesis.</w:t>
            </w:r>
          </w:p>
        </w:tc>
        <w:tc>
          <w:tcPr>
            <w:tcW w:w="1198" w:type="dxa"/>
            <w:shd w:val="clear" w:color="auto" w:fill="auto"/>
            <w:vAlign w:val="center"/>
            <w:hideMark/>
          </w:tcPr>
          <w:p w:rsidR="00F81C27" w:rsidRPr="005D4961" w:rsidRDefault="00F81C27" w:rsidP="00F81C27">
            <w:pPr>
              <w:spacing w:after="0" w:line="240" w:lineRule="auto"/>
              <w:jc w:val="center"/>
              <w:rPr>
                <w:rFonts w:ascii="Times New Roman" w:eastAsia="Times New Roman" w:hAnsi="Times New Roman" w:cs="Times New Roman"/>
                <w:sz w:val="16"/>
                <w:szCs w:val="16"/>
                <w:lang w:eastAsia="id-ID"/>
              </w:rPr>
            </w:pPr>
            <w:r w:rsidRPr="005D4961">
              <w:rPr>
                <w:rFonts w:ascii="Times New Roman" w:eastAsia="Times New Roman" w:hAnsi="Times New Roman" w:cs="Times New Roman"/>
                <w:sz w:val="16"/>
                <w:szCs w:val="16"/>
                <w:lang w:eastAsia="id-ID"/>
              </w:rPr>
              <w:t>Probably had been buried of more than 1000 m deep.</w:t>
            </w:r>
          </w:p>
        </w:tc>
      </w:tr>
    </w:tbl>
    <w:p w:rsidR="00E01CF3" w:rsidRDefault="00E01CF3" w:rsidP="00F81C27">
      <w:pPr>
        <w:spacing w:after="0"/>
        <w:jc w:val="both"/>
        <w:rPr>
          <w:rFonts w:ascii="Times New Roman" w:hAnsi="Times New Roman" w:cs="Times New Roman"/>
          <w:i/>
          <w:sz w:val="20"/>
          <w:szCs w:val="20"/>
        </w:rPr>
      </w:pPr>
    </w:p>
    <w:p w:rsidR="00E01CF3" w:rsidRDefault="00E01CF3" w:rsidP="00F81C27">
      <w:pPr>
        <w:spacing w:after="0"/>
        <w:jc w:val="both"/>
        <w:rPr>
          <w:rFonts w:ascii="Times New Roman" w:hAnsi="Times New Roman" w:cs="Times New Roman"/>
          <w:i/>
          <w:sz w:val="20"/>
          <w:szCs w:val="20"/>
        </w:rPr>
      </w:pPr>
    </w:p>
    <w:p w:rsidR="00BB3FE4" w:rsidRDefault="00BA6087" w:rsidP="00493F68">
      <w:pPr>
        <w:spacing w:after="0"/>
        <w:jc w:val="both"/>
        <w:rPr>
          <w:rFonts w:ascii="Times New Roman" w:hAnsi="Times New Roman" w:cs="Times New Roman"/>
          <w:sz w:val="24"/>
          <w:szCs w:val="24"/>
        </w:rPr>
      </w:pPr>
      <w:r>
        <w:rPr>
          <w:rFonts w:ascii="Times New Roman" w:hAnsi="Times New Roman" w:cs="Times New Roman"/>
          <w:sz w:val="24"/>
          <w:szCs w:val="24"/>
        </w:rPr>
        <w:t xml:space="preserve">Comparing to the data presented by the authors in the paper, </w:t>
      </w:r>
      <w:r w:rsidR="00090681">
        <w:rPr>
          <w:rFonts w:ascii="Times New Roman" w:hAnsi="Times New Roman" w:cs="Times New Roman"/>
          <w:sz w:val="24"/>
          <w:szCs w:val="24"/>
        </w:rPr>
        <w:t xml:space="preserve">based on rock-eval pyrolysis data, </w:t>
      </w:r>
      <w:r>
        <w:rPr>
          <w:rFonts w:ascii="Times New Roman" w:hAnsi="Times New Roman" w:cs="Times New Roman"/>
          <w:sz w:val="24"/>
          <w:szCs w:val="24"/>
        </w:rPr>
        <w:t xml:space="preserve">Widayat </w:t>
      </w:r>
      <w:r w:rsidRPr="00BA6087">
        <w:rPr>
          <w:rFonts w:ascii="Times New Roman" w:hAnsi="Times New Roman" w:cs="Times New Roman"/>
          <w:i/>
          <w:sz w:val="24"/>
          <w:szCs w:val="24"/>
        </w:rPr>
        <w:t>et al.</w:t>
      </w:r>
      <w:r>
        <w:rPr>
          <w:rFonts w:ascii="Times New Roman" w:hAnsi="Times New Roman" w:cs="Times New Roman"/>
          <w:sz w:val="24"/>
          <w:szCs w:val="24"/>
        </w:rPr>
        <w:t xml:space="preserve"> (2013) who </w:t>
      </w:r>
      <w:r w:rsidR="00090681">
        <w:rPr>
          <w:rFonts w:ascii="Times New Roman" w:hAnsi="Times New Roman" w:cs="Times New Roman"/>
          <w:sz w:val="24"/>
          <w:szCs w:val="24"/>
        </w:rPr>
        <w:t xml:space="preserve">also </w:t>
      </w:r>
      <w:r>
        <w:rPr>
          <w:rFonts w:ascii="Times New Roman" w:hAnsi="Times New Roman" w:cs="Times New Roman"/>
          <w:sz w:val="24"/>
          <w:szCs w:val="24"/>
        </w:rPr>
        <w:t xml:space="preserve">studied oil shales in Kiliran and Ombilin Basins, in the view points of their organic matter contents, </w:t>
      </w:r>
      <w:r w:rsidR="00090681">
        <w:rPr>
          <w:rFonts w:ascii="Times New Roman" w:hAnsi="Times New Roman" w:cs="Times New Roman"/>
          <w:sz w:val="24"/>
          <w:szCs w:val="24"/>
        </w:rPr>
        <w:t>show</w:t>
      </w:r>
      <w:r>
        <w:rPr>
          <w:rFonts w:ascii="Times New Roman" w:hAnsi="Times New Roman" w:cs="Times New Roman"/>
          <w:sz w:val="24"/>
          <w:szCs w:val="24"/>
        </w:rPr>
        <w:t xml:space="preserve"> an almost similar charact</w:t>
      </w:r>
      <w:r w:rsidR="00090681">
        <w:rPr>
          <w:rFonts w:ascii="Times New Roman" w:hAnsi="Times New Roman" w:cs="Times New Roman"/>
          <w:sz w:val="24"/>
          <w:szCs w:val="24"/>
        </w:rPr>
        <w:t>eristic results.</w:t>
      </w:r>
    </w:p>
    <w:p w:rsidR="00BB3FE4" w:rsidRPr="00896F31" w:rsidRDefault="00BB3FE4" w:rsidP="00493F68">
      <w:pPr>
        <w:autoSpaceDE w:val="0"/>
        <w:autoSpaceDN w:val="0"/>
        <w:adjustRightInd w:val="0"/>
        <w:spacing w:after="0" w:line="240" w:lineRule="auto"/>
        <w:ind w:firstLine="567"/>
        <w:jc w:val="both"/>
        <w:rPr>
          <w:rFonts w:ascii="Times New Roman" w:hAnsi="Times New Roman" w:cs="Times New Roman"/>
          <w:iCs/>
          <w:sz w:val="24"/>
          <w:szCs w:val="24"/>
        </w:rPr>
      </w:pPr>
      <w:r w:rsidRPr="00294C0C">
        <w:rPr>
          <w:rFonts w:ascii="Times New Roman" w:hAnsi="Times New Roman" w:cs="Times New Roman"/>
          <w:iCs/>
          <w:sz w:val="24"/>
          <w:szCs w:val="24"/>
        </w:rPr>
        <w:t>The</w:t>
      </w:r>
      <w:r w:rsidR="00090681">
        <w:rPr>
          <w:rFonts w:ascii="Times New Roman" w:hAnsi="Times New Roman" w:cs="Times New Roman"/>
          <w:iCs/>
          <w:sz w:val="24"/>
          <w:szCs w:val="24"/>
        </w:rPr>
        <w:t xml:space="preserve">y stated, that </w:t>
      </w:r>
      <w:r w:rsidR="00090681" w:rsidRPr="00294C0C">
        <w:rPr>
          <w:rFonts w:ascii="Times New Roman" w:hAnsi="Times New Roman" w:cs="Times New Roman"/>
          <w:iCs/>
          <w:sz w:val="24"/>
          <w:szCs w:val="24"/>
        </w:rPr>
        <w:t>T</w:t>
      </w:r>
      <w:r w:rsidR="00090681" w:rsidRPr="00294C0C">
        <w:rPr>
          <w:rFonts w:ascii="Times New Roman" w:hAnsi="Times New Roman" w:cs="Times New Roman"/>
          <w:iCs/>
          <w:sz w:val="24"/>
          <w:szCs w:val="24"/>
          <w:vertAlign w:val="subscript"/>
        </w:rPr>
        <w:t>max</w:t>
      </w:r>
      <w:r w:rsidR="00090681">
        <w:rPr>
          <w:rFonts w:ascii="Times New Roman" w:hAnsi="Times New Roman" w:cs="Times New Roman"/>
          <w:iCs/>
          <w:sz w:val="24"/>
          <w:szCs w:val="24"/>
        </w:rPr>
        <w:t xml:space="preserve"> of </w:t>
      </w:r>
      <w:r w:rsidRPr="00294C0C">
        <w:rPr>
          <w:rFonts w:ascii="Times New Roman" w:hAnsi="Times New Roman" w:cs="Times New Roman"/>
          <w:iCs/>
          <w:sz w:val="24"/>
          <w:szCs w:val="24"/>
        </w:rPr>
        <w:t xml:space="preserve">oil shale </w:t>
      </w:r>
      <w:r w:rsidR="00090681" w:rsidRPr="00294C0C">
        <w:rPr>
          <w:rFonts w:ascii="Times New Roman" w:hAnsi="Times New Roman" w:cs="Times New Roman"/>
          <w:iCs/>
          <w:sz w:val="24"/>
          <w:szCs w:val="24"/>
        </w:rPr>
        <w:t>exhibit 430</w:t>
      </w:r>
      <w:r w:rsidR="00090681" w:rsidRPr="00294C0C">
        <w:rPr>
          <w:rFonts w:ascii="Times New Roman" w:hAnsi="Times New Roman" w:cs="Times New Roman"/>
          <w:iCs/>
          <w:sz w:val="24"/>
          <w:szCs w:val="24"/>
          <w:vertAlign w:val="superscript"/>
        </w:rPr>
        <w:t>o</w:t>
      </w:r>
      <w:r w:rsidR="00090681" w:rsidRPr="00294C0C">
        <w:rPr>
          <w:rFonts w:ascii="Times New Roman" w:hAnsi="Times New Roman" w:cs="Times New Roman"/>
          <w:iCs/>
          <w:sz w:val="24"/>
          <w:szCs w:val="24"/>
        </w:rPr>
        <w:t>C and 436</w:t>
      </w:r>
      <w:r w:rsidR="00090681" w:rsidRPr="00294C0C">
        <w:rPr>
          <w:rFonts w:ascii="Times New Roman" w:hAnsi="Times New Roman" w:cs="Times New Roman"/>
          <w:iCs/>
          <w:sz w:val="24"/>
          <w:szCs w:val="24"/>
          <w:vertAlign w:val="superscript"/>
        </w:rPr>
        <w:t>o</w:t>
      </w:r>
      <w:r w:rsidR="00090681" w:rsidRPr="00294C0C">
        <w:rPr>
          <w:rFonts w:ascii="Times New Roman" w:hAnsi="Times New Roman" w:cs="Times New Roman"/>
          <w:iCs/>
          <w:sz w:val="24"/>
          <w:szCs w:val="24"/>
        </w:rPr>
        <w:t>C for Kiliran and Ombilin, respectively.</w:t>
      </w:r>
      <w:r w:rsidR="00090681">
        <w:rPr>
          <w:rFonts w:ascii="Times New Roman" w:hAnsi="Times New Roman" w:cs="Times New Roman"/>
          <w:iCs/>
          <w:sz w:val="24"/>
          <w:szCs w:val="24"/>
        </w:rPr>
        <w:t xml:space="preserve">Vitrinite reflectance values around 0.37%. Therefore, it can be suggested </w:t>
      </w:r>
      <w:r w:rsidRPr="00294C0C">
        <w:rPr>
          <w:rFonts w:ascii="Times New Roman" w:hAnsi="Times New Roman" w:cs="Times New Roman"/>
          <w:iCs/>
          <w:sz w:val="24"/>
          <w:szCs w:val="24"/>
        </w:rPr>
        <w:t xml:space="preserve"> that the oil shales </w:t>
      </w:r>
      <w:r w:rsidR="00090681">
        <w:rPr>
          <w:rFonts w:ascii="Times New Roman" w:hAnsi="Times New Roman" w:cs="Times New Roman"/>
          <w:iCs/>
          <w:sz w:val="24"/>
          <w:szCs w:val="24"/>
        </w:rPr>
        <w:t xml:space="preserve">of both areas </w:t>
      </w:r>
      <w:r w:rsidRPr="00294C0C">
        <w:rPr>
          <w:rFonts w:ascii="Times New Roman" w:hAnsi="Times New Roman" w:cs="Times New Roman"/>
          <w:iCs/>
          <w:sz w:val="24"/>
          <w:szCs w:val="24"/>
        </w:rPr>
        <w:t xml:space="preserve">are immature, </w:t>
      </w:r>
      <w:r w:rsidR="00090681">
        <w:rPr>
          <w:rFonts w:ascii="Times New Roman" w:hAnsi="Times New Roman" w:cs="Times New Roman"/>
          <w:iCs/>
          <w:sz w:val="24"/>
          <w:szCs w:val="24"/>
        </w:rPr>
        <w:t>whilst</w:t>
      </w:r>
      <w:r w:rsidRPr="00294C0C">
        <w:rPr>
          <w:rFonts w:ascii="Times New Roman" w:hAnsi="Times New Roman" w:cs="Times New Roman"/>
          <w:iCs/>
          <w:sz w:val="24"/>
          <w:szCs w:val="24"/>
        </w:rPr>
        <w:t xml:space="preserve"> the maturity of Ombilin oil shale is slightly higher than that of Kiliran oil shale. Total organic carbon (TOC) values </w:t>
      </w:r>
      <w:r w:rsidR="00090681">
        <w:rPr>
          <w:rFonts w:ascii="Times New Roman" w:hAnsi="Times New Roman" w:cs="Times New Roman"/>
          <w:iCs/>
          <w:sz w:val="24"/>
          <w:szCs w:val="24"/>
        </w:rPr>
        <w:t xml:space="preserve">of Kiliran area </w:t>
      </w:r>
      <w:r w:rsidR="00896F31">
        <w:rPr>
          <w:rFonts w:ascii="Times New Roman" w:hAnsi="Times New Roman" w:cs="Times New Roman"/>
          <w:iCs/>
          <w:sz w:val="24"/>
          <w:szCs w:val="24"/>
        </w:rPr>
        <w:t xml:space="preserve">ranging from </w:t>
      </w:r>
      <w:r w:rsidR="00896F31" w:rsidRPr="00294C0C">
        <w:rPr>
          <w:rFonts w:ascii="Times New Roman" w:hAnsi="Times New Roman" w:cs="Times New Roman"/>
          <w:sz w:val="24"/>
          <w:szCs w:val="24"/>
        </w:rPr>
        <w:t>2.10% to 10.94%, averaging at 5.61%</w:t>
      </w:r>
      <w:r w:rsidR="00896F31">
        <w:rPr>
          <w:rFonts w:ascii="Times New Roman" w:hAnsi="Times New Roman" w:cs="Times New Roman"/>
          <w:sz w:val="24"/>
          <w:szCs w:val="24"/>
        </w:rPr>
        <w:t xml:space="preserve">, </w:t>
      </w:r>
      <w:r w:rsidR="00090681">
        <w:rPr>
          <w:rFonts w:ascii="Times New Roman" w:hAnsi="Times New Roman" w:cs="Times New Roman"/>
          <w:iCs/>
          <w:sz w:val="24"/>
          <w:szCs w:val="24"/>
        </w:rPr>
        <w:t xml:space="preserve">and </w:t>
      </w:r>
      <w:r w:rsidR="00896F31">
        <w:rPr>
          <w:rFonts w:ascii="Times New Roman" w:hAnsi="Times New Roman" w:cs="Times New Roman"/>
          <w:iCs/>
          <w:sz w:val="24"/>
          <w:szCs w:val="24"/>
        </w:rPr>
        <w:t xml:space="preserve">of </w:t>
      </w:r>
      <w:r w:rsidR="00090681">
        <w:rPr>
          <w:rFonts w:ascii="Times New Roman" w:hAnsi="Times New Roman" w:cs="Times New Roman"/>
          <w:iCs/>
          <w:sz w:val="24"/>
          <w:szCs w:val="24"/>
        </w:rPr>
        <w:t xml:space="preserve">Ombilin oil shale </w:t>
      </w:r>
      <w:r w:rsidR="00896F31">
        <w:rPr>
          <w:rFonts w:ascii="Times New Roman" w:hAnsi="Times New Roman" w:cs="Times New Roman"/>
          <w:iCs/>
          <w:sz w:val="24"/>
          <w:szCs w:val="24"/>
        </w:rPr>
        <w:t xml:space="preserve">varying </w:t>
      </w:r>
      <w:r w:rsidR="00896F31" w:rsidRPr="00294C0C">
        <w:rPr>
          <w:rFonts w:ascii="Times New Roman" w:hAnsi="Times New Roman" w:cs="Times New Roman"/>
          <w:sz w:val="24"/>
          <w:szCs w:val="24"/>
        </w:rPr>
        <w:t xml:space="preserve">from 3.55% to </w:t>
      </w:r>
      <w:r w:rsidR="00896F31">
        <w:rPr>
          <w:rFonts w:ascii="Times New Roman" w:hAnsi="Times New Roman" w:cs="Times New Roman"/>
          <w:sz w:val="24"/>
          <w:szCs w:val="24"/>
        </w:rPr>
        <w:t xml:space="preserve">5.87%, </w:t>
      </w:r>
      <w:r w:rsidR="00896F31" w:rsidRPr="00294C0C">
        <w:rPr>
          <w:rFonts w:ascii="Times New Roman" w:hAnsi="Times New Roman" w:cs="Times New Roman"/>
          <w:sz w:val="24"/>
          <w:szCs w:val="24"/>
        </w:rPr>
        <w:t>of 5.01%</w:t>
      </w:r>
      <w:r w:rsidR="00896F31">
        <w:rPr>
          <w:rFonts w:ascii="Times New Roman" w:hAnsi="Times New Roman" w:cs="Times New Roman"/>
          <w:sz w:val="24"/>
          <w:szCs w:val="24"/>
        </w:rPr>
        <w:t xml:space="preserve"> in average, </w:t>
      </w:r>
      <w:r w:rsidR="00090681">
        <w:rPr>
          <w:rFonts w:ascii="Times New Roman" w:hAnsi="Times New Roman" w:cs="Times New Roman"/>
          <w:iCs/>
          <w:sz w:val="24"/>
          <w:szCs w:val="24"/>
        </w:rPr>
        <w:t>tend to indicate</w:t>
      </w:r>
      <w:r w:rsidR="00896F31">
        <w:rPr>
          <w:rFonts w:ascii="Times New Roman" w:hAnsi="Times New Roman" w:cs="Times New Roman"/>
          <w:iCs/>
          <w:sz w:val="24"/>
          <w:szCs w:val="24"/>
        </w:rPr>
        <w:t xml:space="preserve"> that the oil shales can be defined as</w:t>
      </w:r>
      <w:r w:rsidRPr="00294C0C">
        <w:rPr>
          <w:rFonts w:ascii="Times New Roman" w:hAnsi="Times New Roman" w:cs="Times New Roman"/>
          <w:sz w:val="24"/>
          <w:szCs w:val="24"/>
        </w:rPr>
        <w:t xml:space="preserve">organic-rich </w:t>
      </w:r>
      <w:r w:rsidR="00896F31">
        <w:rPr>
          <w:rFonts w:ascii="Times New Roman" w:hAnsi="Times New Roman" w:cs="Times New Roman"/>
          <w:sz w:val="24"/>
          <w:szCs w:val="24"/>
        </w:rPr>
        <w:t>substances</w:t>
      </w:r>
      <w:r w:rsidRPr="00294C0C">
        <w:rPr>
          <w:rFonts w:ascii="Times New Roman" w:hAnsi="Times New Roman" w:cs="Times New Roman"/>
          <w:sz w:val="24"/>
          <w:szCs w:val="24"/>
        </w:rPr>
        <w:t xml:space="preserve"> containing significant amounts of oil-</w:t>
      </w:r>
      <w:r w:rsidR="00896F31">
        <w:rPr>
          <w:rFonts w:ascii="Times New Roman" w:hAnsi="Times New Roman" w:cs="Times New Roman"/>
          <w:sz w:val="24"/>
          <w:szCs w:val="24"/>
        </w:rPr>
        <w:t xml:space="preserve"> to gas-</w:t>
      </w:r>
      <w:r w:rsidRPr="00294C0C">
        <w:rPr>
          <w:rFonts w:ascii="Times New Roman" w:hAnsi="Times New Roman" w:cs="Times New Roman"/>
          <w:sz w:val="24"/>
          <w:szCs w:val="24"/>
        </w:rPr>
        <w:t xml:space="preserve">prone kerogen </w:t>
      </w:r>
      <w:r w:rsidR="00896F31">
        <w:rPr>
          <w:rFonts w:ascii="Times New Roman" w:hAnsi="Times New Roman" w:cs="Times New Roman"/>
          <w:sz w:val="24"/>
          <w:szCs w:val="24"/>
        </w:rPr>
        <w:t xml:space="preserve">which can produce oil </w:t>
      </w:r>
      <w:r w:rsidRPr="00294C0C">
        <w:rPr>
          <w:rFonts w:ascii="Times New Roman" w:hAnsi="Times New Roman" w:cs="Times New Roman"/>
          <w:sz w:val="24"/>
          <w:szCs w:val="24"/>
        </w:rPr>
        <w:t xml:space="preserve">upon heating. </w:t>
      </w:r>
      <w:r w:rsidR="00896F31">
        <w:rPr>
          <w:rFonts w:ascii="Times New Roman" w:hAnsi="Times New Roman" w:cs="Times New Roman"/>
          <w:sz w:val="24"/>
          <w:szCs w:val="24"/>
        </w:rPr>
        <w:t xml:space="preserve">Tissot and Welte (1984) stated that oil shale containing organic matter typically &gt; 5%, can be defined as </w:t>
      </w:r>
      <w:r w:rsidRPr="00294C0C">
        <w:rPr>
          <w:rFonts w:ascii="Times New Roman" w:hAnsi="Times New Roman" w:cs="Times New Roman"/>
          <w:sz w:val="24"/>
          <w:szCs w:val="24"/>
        </w:rPr>
        <w:t>alternative sources for fossil fuels.</w:t>
      </w:r>
    </w:p>
    <w:p w:rsidR="00BB3FE4" w:rsidRPr="00294C0C" w:rsidRDefault="00896F31" w:rsidP="00A71E6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Both</w:t>
      </w:r>
      <w:r w:rsidR="00A71E61">
        <w:rPr>
          <w:rFonts w:ascii="Times New Roman" w:hAnsi="Times New Roman" w:cs="Times New Roman"/>
          <w:sz w:val="24"/>
          <w:szCs w:val="24"/>
          <w:lang w:val="en-US"/>
        </w:rPr>
        <w:t xml:space="preserve"> </w:t>
      </w:r>
      <w:r>
        <w:rPr>
          <w:rFonts w:ascii="Times New Roman" w:hAnsi="Times New Roman" w:cs="Times New Roman"/>
          <w:sz w:val="24"/>
          <w:szCs w:val="24"/>
        </w:rPr>
        <w:t xml:space="preserve">oil shales are immature source rocks, shown by the generally low </w:t>
      </w:r>
      <w:r w:rsidR="00BB3FE4" w:rsidRPr="00294C0C">
        <w:rPr>
          <w:rFonts w:ascii="Times New Roman" w:hAnsi="Times New Roman" w:cs="Times New Roman"/>
          <w:sz w:val="24"/>
          <w:szCs w:val="24"/>
        </w:rPr>
        <w:t>production index (PI)</w:t>
      </w:r>
      <w:r>
        <w:rPr>
          <w:rFonts w:ascii="Times New Roman" w:hAnsi="Times New Roman" w:cs="Times New Roman"/>
          <w:sz w:val="24"/>
          <w:szCs w:val="24"/>
        </w:rPr>
        <w:t>.</w:t>
      </w:r>
      <w:r w:rsidR="00493F68">
        <w:rPr>
          <w:rFonts w:ascii="Times New Roman" w:hAnsi="Times New Roman" w:cs="Times New Roman"/>
          <w:sz w:val="24"/>
          <w:szCs w:val="24"/>
        </w:rPr>
        <w:t xml:space="preserve">The kerogen contents are of type I – II, which tend to indicate more oil- than gas-prone. </w:t>
      </w:r>
    </w:p>
    <w:p w:rsidR="00BB3FE4" w:rsidRPr="00BB3FE4" w:rsidRDefault="00BB3FE4" w:rsidP="00F81C27">
      <w:pPr>
        <w:spacing w:after="0"/>
        <w:jc w:val="both"/>
        <w:rPr>
          <w:rFonts w:ascii="Times New Roman" w:hAnsi="Times New Roman" w:cs="Times New Roman"/>
          <w:sz w:val="24"/>
          <w:szCs w:val="24"/>
        </w:rPr>
      </w:pPr>
    </w:p>
    <w:p w:rsidR="00BB3FE4" w:rsidRPr="00BB3FE4" w:rsidRDefault="00BB3FE4" w:rsidP="00F81C27">
      <w:pPr>
        <w:spacing w:after="0"/>
        <w:jc w:val="both"/>
        <w:rPr>
          <w:rFonts w:ascii="Times New Roman" w:hAnsi="Times New Roman" w:cs="Times New Roman"/>
          <w:sz w:val="20"/>
          <w:szCs w:val="20"/>
        </w:rPr>
      </w:pPr>
    </w:p>
    <w:p w:rsidR="00F81C27" w:rsidRPr="00BB3FE4" w:rsidRDefault="00F81C27" w:rsidP="00493F68">
      <w:pPr>
        <w:spacing w:after="0"/>
        <w:ind w:firstLine="567"/>
        <w:jc w:val="both"/>
        <w:rPr>
          <w:rFonts w:ascii="Times New Roman" w:hAnsi="Times New Roman" w:cs="Times New Roman"/>
          <w:i/>
          <w:sz w:val="24"/>
          <w:szCs w:val="24"/>
        </w:rPr>
      </w:pPr>
      <w:r w:rsidRPr="00BB3FE4">
        <w:rPr>
          <w:rFonts w:ascii="Times New Roman" w:hAnsi="Times New Roman" w:cs="Times New Roman"/>
          <w:sz w:val="24"/>
          <w:szCs w:val="24"/>
        </w:rPr>
        <w:lastRenderedPageBreak/>
        <w:t xml:space="preserve">Summarizing the three studied areas, the kerogen contained in oil shales is mainly included into Type II, with minor Type I (Figure </w:t>
      </w:r>
      <w:r w:rsidR="00493F68">
        <w:rPr>
          <w:rFonts w:ascii="Times New Roman" w:hAnsi="Times New Roman" w:cs="Times New Roman"/>
          <w:sz w:val="24"/>
          <w:szCs w:val="24"/>
        </w:rPr>
        <w:t>5</w:t>
      </w:r>
      <w:r w:rsidRPr="00BB3FE4">
        <w:rPr>
          <w:rFonts w:ascii="Times New Roman" w:hAnsi="Times New Roman" w:cs="Times New Roman"/>
          <w:sz w:val="24"/>
          <w:szCs w:val="24"/>
        </w:rPr>
        <w:t>). The oil shales contain both autochthonous and allochthonous organic material.  The autochthonous materials consist of Type I kerogen, alginite</w:t>
      </w:r>
      <w:r w:rsidR="00A71E61">
        <w:rPr>
          <w:rFonts w:ascii="Times New Roman" w:hAnsi="Times New Roman" w:cs="Times New Roman"/>
          <w:sz w:val="24"/>
          <w:szCs w:val="24"/>
          <w:lang w:val="en-US"/>
        </w:rPr>
        <w:t>,</w:t>
      </w:r>
      <w:r w:rsidRPr="00BB3FE4">
        <w:rPr>
          <w:rFonts w:ascii="Times New Roman" w:hAnsi="Times New Roman" w:cs="Times New Roman"/>
          <w:sz w:val="24"/>
          <w:szCs w:val="24"/>
        </w:rPr>
        <w:t xml:space="preserve"> and exsudatinite, whilst, the allochthonous type comprises Type II kerogen, sporinite, cutinite, resinite, and vitrinite, of floral/humic origin. By using a combination of  TOC, PY, and HI values, in accordance with Rad’s parameter (1984) the oil shales of the three areas studied falls on fair to good category, oil-prone with minor gas-oil prone potential, situated within thermally immature level. Based on Espitalie </w:t>
      </w:r>
      <w:r w:rsidRPr="00BB3FE4">
        <w:rPr>
          <w:rFonts w:ascii="Times New Roman" w:hAnsi="Times New Roman" w:cs="Times New Roman"/>
          <w:i/>
          <w:sz w:val="24"/>
          <w:szCs w:val="24"/>
        </w:rPr>
        <w:t>et al</w:t>
      </w:r>
      <w:r w:rsidRPr="00BB3FE4">
        <w:rPr>
          <w:rFonts w:ascii="Times New Roman" w:hAnsi="Times New Roman" w:cs="Times New Roman"/>
          <w:sz w:val="24"/>
          <w:szCs w:val="24"/>
        </w:rPr>
        <w:t>. (1977) and Peters (1986) statements, the pyrolysis yield of &gt;10 mg HC/g rock, tends to indicate that the oil shale is classified as a very good or excellent source-rock potential, which also can be classified as an ‘effective source-rock’. It is also supported by Peters’ observation (1986 and 1989), that rocks with HI&gt;300 mg HC/g TOC will produce oil. Additionally, the thermal maturity of the samples, in general, is included into immature stage. However, some samples show an early mature stage.</w:t>
      </w:r>
    </w:p>
    <w:p w:rsidR="00F81C27" w:rsidRPr="00BB3FE4" w:rsidRDefault="00F81C27" w:rsidP="00F81C27">
      <w:pPr>
        <w:widowControl w:val="0"/>
        <w:autoSpaceDE w:val="0"/>
        <w:autoSpaceDN w:val="0"/>
        <w:spacing w:after="0"/>
        <w:ind w:firstLine="567"/>
        <w:jc w:val="both"/>
        <w:rPr>
          <w:rFonts w:ascii="Times New Roman" w:hAnsi="Times New Roman" w:cs="Times New Roman"/>
          <w:sz w:val="24"/>
          <w:szCs w:val="24"/>
        </w:rPr>
      </w:pPr>
      <w:r w:rsidRPr="00BB3FE4">
        <w:rPr>
          <w:rFonts w:ascii="Times New Roman" w:hAnsi="Times New Roman" w:cs="Times New Roman"/>
          <w:spacing w:val="9"/>
          <w:sz w:val="24"/>
          <w:szCs w:val="24"/>
        </w:rPr>
        <w:t>The T</w:t>
      </w:r>
      <w:r w:rsidRPr="00BB3FE4">
        <w:rPr>
          <w:rFonts w:ascii="Times New Roman" w:hAnsi="Times New Roman" w:cs="Times New Roman"/>
          <w:spacing w:val="9"/>
          <w:sz w:val="24"/>
          <w:szCs w:val="24"/>
          <w:vertAlign w:val="subscript"/>
        </w:rPr>
        <w:t>max</w:t>
      </w:r>
      <w:r w:rsidRPr="00BB3FE4">
        <w:rPr>
          <w:rFonts w:ascii="Times New Roman" w:hAnsi="Times New Roman" w:cs="Times New Roman"/>
          <w:spacing w:val="9"/>
          <w:sz w:val="24"/>
          <w:szCs w:val="24"/>
        </w:rPr>
        <w:t xml:space="preserve"> values vary from 431° - 432</w:t>
      </w:r>
      <w:r w:rsidRPr="00BB3FE4">
        <w:rPr>
          <w:rFonts w:ascii="Times New Roman" w:hAnsi="Times New Roman" w:cs="Times New Roman"/>
          <w:spacing w:val="9"/>
          <w:sz w:val="24"/>
          <w:szCs w:val="24"/>
          <w:vertAlign w:val="superscript"/>
        </w:rPr>
        <w:t xml:space="preserve">o </w:t>
      </w:r>
      <w:r w:rsidRPr="00BB3FE4">
        <w:rPr>
          <w:rFonts w:ascii="Times New Roman" w:hAnsi="Times New Roman" w:cs="Times New Roman"/>
          <w:spacing w:val="9"/>
          <w:sz w:val="24"/>
          <w:szCs w:val="24"/>
        </w:rPr>
        <w:t xml:space="preserve">C (Table 1; Figure </w:t>
      </w:r>
      <w:r w:rsidR="00493F68">
        <w:rPr>
          <w:rFonts w:ascii="Times New Roman" w:hAnsi="Times New Roman" w:cs="Times New Roman"/>
          <w:spacing w:val="9"/>
          <w:sz w:val="24"/>
          <w:szCs w:val="24"/>
        </w:rPr>
        <w:t>5</w:t>
      </w:r>
      <w:r w:rsidRPr="00BB3FE4">
        <w:rPr>
          <w:rFonts w:ascii="Times New Roman" w:hAnsi="Times New Roman" w:cs="Times New Roman"/>
          <w:spacing w:val="9"/>
          <w:sz w:val="24"/>
          <w:szCs w:val="24"/>
        </w:rPr>
        <w:t xml:space="preserve">) and most vitrinite reflectance value ranges between </w:t>
      </w:r>
      <w:r w:rsidRPr="00BB3FE4">
        <w:rPr>
          <w:rFonts w:ascii="Times New Roman" w:hAnsi="Times New Roman" w:cs="Times New Roman"/>
          <w:spacing w:val="4"/>
          <w:sz w:val="24"/>
          <w:szCs w:val="24"/>
        </w:rPr>
        <w:t xml:space="preserve">0.20 % to 0.26 %. These vitrinite reflectance values </w:t>
      </w:r>
      <w:r w:rsidRPr="00BB3FE4">
        <w:rPr>
          <w:rFonts w:ascii="Times New Roman" w:hAnsi="Times New Roman" w:cs="Times New Roman"/>
          <w:spacing w:val="11"/>
          <w:sz w:val="24"/>
          <w:szCs w:val="24"/>
        </w:rPr>
        <w:t xml:space="preserve">fall beyond the “oilbirth" line occupying the non-onset oil zone. </w:t>
      </w:r>
      <w:r w:rsidR="00493F68">
        <w:rPr>
          <w:rFonts w:ascii="Times New Roman" w:hAnsi="Times New Roman" w:cs="Times New Roman"/>
          <w:spacing w:val="11"/>
          <w:sz w:val="24"/>
          <w:szCs w:val="24"/>
        </w:rPr>
        <w:t>S</w:t>
      </w:r>
      <w:r w:rsidRPr="00BB3FE4">
        <w:rPr>
          <w:rFonts w:ascii="Times New Roman" w:hAnsi="Times New Roman" w:cs="Times New Roman"/>
          <w:spacing w:val="7"/>
          <w:sz w:val="24"/>
          <w:szCs w:val="24"/>
        </w:rPr>
        <w:t xml:space="preserve">ample NS.14i has a slightly higher reflectance indicating that it is close to the oil </w:t>
      </w:r>
      <w:r w:rsidRPr="00BB3FE4">
        <w:rPr>
          <w:rFonts w:ascii="Times New Roman" w:hAnsi="Times New Roman" w:cs="Times New Roman"/>
          <w:spacing w:val="2"/>
          <w:sz w:val="24"/>
          <w:szCs w:val="24"/>
        </w:rPr>
        <w:t xml:space="preserve">"birth" line, although still within the non-onset oilarea. The majority of PI values of the samples that </w:t>
      </w:r>
      <w:r w:rsidR="00493F68">
        <w:rPr>
          <w:rFonts w:ascii="Times New Roman" w:hAnsi="Times New Roman" w:cs="Times New Roman"/>
          <w:spacing w:val="10"/>
          <w:sz w:val="24"/>
          <w:szCs w:val="24"/>
        </w:rPr>
        <w:t>are less than 0.1 (Table 1</w:t>
      </w:r>
      <w:r w:rsidRPr="00BB3FE4">
        <w:rPr>
          <w:rFonts w:ascii="Times New Roman" w:hAnsi="Times New Roman" w:cs="Times New Roman"/>
          <w:spacing w:val="10"/>
          <w:sz w:val="24"/>
          <w:szCs w:val="24"/>
        </w:rPr>
        <w:t xml:space="preserve">), indicate that the Kiliran oilshales are situated within an </w:t>
      </w:r>
      <w:r w:rsidRPr="00BB3FE4">
        <w:rPr>
          <w:rFonts w:ascii="Times New Roman" w:hAnsi="Times New Roman" w:cs="Times New Roman"/>
          <w:spacing w:val="3"/>
          <w:sz w:val="24"/>
          <w:szCs w:val="24"/>
        </w:rPr>
        <w:t>immature stage. Overall, the vitrinite reflectance agree with the T</w:t>
      </w:r>
      <w:r w:rsidRPr="00BB3FE4">
        <w:rPr>
          <w:rFonts w:ascii="Times New Roman" w:hAnsi="Times New Roman" w:cs="Times New Roman"/>
          <w:spacing w:val="3"/>
          <w:sz w:val="24"/>
          <w:szCs w:val="24"/>
          <w:vertAlign w:val="subscript"/>
        </w:rPr>
        <w:t>max</w:t>
      </w:r>
      <w:r w:rsidRPr="00BB3FE4">
        <w:rPr>
          <w:rFonts w:ascii="Times New Roman" w:hAnsi="Times New Roman" w:cs="Times New Roman"/>
          <w:spacing w:val="3"/>
          <w:sz w:val="24"/>
          <w:szCs w:val="24"/>
        </w:rPr>
        <w:t xml:space="preserve"> and PI values. Due </w:t>
      </w:r>
      <w:r w:rsidRPr="00BB3FE4">
        <w:rPr>
          <w:rFonts w:ascii="Times New Roman" w:hAnsi="Times New Roman" w:cs="Times New Roman"/>
          <w:spacing w:val="5"/>
          <w:sz w:val="24"/>
          <w:szCs w:val="24"/>
        </w:rPr>
        <w:t xml:space="preserve">to their </w:t>
      </w:r>
      <w:r w:rsidRPr="00BB3FE4">
        <w:rPr>
          <w:rFonts w:ascii="Times New Roman" w:hAnsi="Times New Roman" w:cs="Times New Roman"/>
          <w:iCs/>
          <w:spacing w:val="5"/>
          <w:sz w:val="24"/>
          <w:szCs w:val="24"/>
        </w:rPr>
        <w:t>Rv</w:t>
      </w:r>
      <w:r w:rsidRPr="00BB3FE4">
        <w:rPr>
          <w:rFonts w:ascii="Times New Roman" w:hAnsi="Times New Roman" w:cs="Times New Roman"/>
          <w:iCs/>
          <w:spacing w:val="5"/>
          <w:sz w:val="24"/>
          <w:szCs w:val="24"/>
          <w:vertAlign w:val="subscript"/>
        </w:rPr>
        <w:t>max</w:t>
      </w:r>
      <w:r w:rsidRPr="00BB3FE4">
        <w:rPr>
          <w:rFonts w:ascii="Times New Roman" w:hAnsi="Times New Roman" w:cs="Times New Roman"/>
          <w:spacing w:val="5"/>
          <w:sz w:val="24"/>
          <w:szCs w:val="24"/>
        </w:rPr>
        <w:t xml:space="preserve">values (&lt;0.4 %), according to the Foscolos </w:t>
      </w:r>
      <w:r w:rsidRPr="00BB3FE4">
        <w:rPr>
          <w:rFonts w:ascii="Times New Roman" w:hAnsi="Times New Roman" w:cs="Times New Roman"/>
          <w:i/>
          <w:iCs/>
          <w:spacing w:val="5"/>
          <w:sz w:val="24"/>
          <w:szCs w:val="24"/>
        </w:rPr>
        <w:t xml:space="preserve">et al.'s </w:t>
      </w:r>
      <w:r w:rsidRPr="00BB3FE4">
        <w:rPr>
          <w:rFonts w:ascii="Times New Roman" w:hAnsi="Times New Roman" w:cs="Times New Roman"/>
          <w:spacing w:val="5"/>
          <w:sz w:val="24"/>
          <w:szCs w:val="24"/>
        </w:rPr>
        <w:t xml:space="preserve">chart (1976), the oil </w:t>
      </w:r>
      <w:r w:rsidRPr="00BB3FE4">
        <w:rPr>
          <w:rFonts w:ascii="Times New Roman" w:hAnsi="Times New Roman" w:cs="Times New Roman"/>
          <w:sz w:val="24"/>
          <w:szCs w:val="24"/>
        </w:rPr>
        <w:t xml:space="preserve">shales had undergone aneodiagenetic process. </w:t>
      </w:r>
    </w:p>
    <w:p w:rsidR="00BB3FE4" w:rsidRPr="00BB3FE4" w:rsidRDefault="00BB3FE4" w:rsidP="00F81C27">
      <w:pPr>
        <w:widowControl w:val="0"/>
        <w:autoSpaceDE w:val="0"/>
        <w:autoSpaceDN w:val="0"/>
        <w:spacing w:after="0"/>
        <w:ind w:firstLine="567"/>
        <w:jc w:val="both"/>
        <w:rPr>
          <w:rFonts w:ascii="Times New Roman" w:hAnsi="Times New Roman" w:cs="Times New Roman"/>
          <w:sz w:val="24"/>
          <w:szCs w:val="24"/>
        </w:rPr>
      </w:pPr>
    </w:p>
    <w:p w:rsidR="00493F68" w:rsidRDefault="00493F68" w:rsidP="00F81C27">
      <w:pPr>
        <w:spacing w:line="240" w:lineRule="auto"/>
        <w:jc w:val="both"/>
        <w:rPr>
          <w:rFonts w:ascii="Times New Roman" w:hAnsi="Times New Roman" w:cs="Times New Roman"/>
          <w:b/>
          <w:sz w:val="24"/>
          <w:szCs w:val="24"/>
        </w:rPr>
      </w:pPr>
    </w:p>
    <w:p w:rsidR="00F81C27" w:rsidRPr="00BB3FE4" w:rsidRDefault="00BB3FE4" w:rsidP="00F81C27">
      <w:pPr>
        <w:spacing w:line="240" w:lineRule="auto"/>
        <w:jc w:val="both"/>
        <w:rPr>
          <w:rFonts w:ascii="Times New Roman" w:hAnsi="Times New Roman" w:cs="Times New Roman"/>
          <w:b/>
          <w:sz w:val="24"/>
          <w:szCs w:val="24"/>
        </w:rPr>
      </w:pPr>
      <w:r w:rsidRPr="00BB3FE4">
        <w:rPr>
          <w:rFonts w:ascii="Times New Roman" w:hAnsi="Times New Roman" w:cs="Times New Roman"/>
          <w:b/>
          <w:sz w:val="24"/>
          <w:szCs w:val="24"/>
        </w:rPr>
        <w:t>CONCLUSIONS</w:t>
      </w:r>
    </w:p>
    <w:p w:rsidR="00F81C27" w:rsidRPr="00BB3FE4" w:rsidRDefault="00F81C27" w:rsidP="00F81C27">
      <w:pPr>
        <w:spacing w:line="240" w:lineRule="auto"/>
        <w:jc w:val="both"/>
        <w:rPr>
          <w:rFonts w:ascii="Times New Roman" w:hAnsi="Times New Roman" w:cs="Times New Roman"/>
          <w:sz w:val="24"/>
          <w:szCs w:val="24"/>
        </w:rPr>
      </w:pPr>
      <w:r w:rsidRPr="00BB3FE4">
        <w:rPr>
          <w:rFonts w:ascii="Times New Roman" w:hAnsi="Times New Roman" w:cs="Times New Roman"/>
          <w:sz w:val="24"/>
          <w:szCs w:val="24"/>
        </w:rPr>
        <w:t>Some conclusions regarding the oil shale studied in three areas,can be described as follows:</w:t>
      </w:r>
    </w:p>
    <w:p w:rsidR="00D469FD" w:rsidRPr="00D469FD" w:rsidRDefault="00493F68" w:rsidP="00F81C27">
      <w:pPr>
        <w:pStyle w:val="ListParagraph"/>
        <w:widowControl w:val="0"/>
        <w:numPr>
          <w:ilvl w:val="0"/>
          <w:numId w:val="1"/>
        </w:numPr>
        <w:autoSpaceDE w:val="0"/>
        <w:autoSpaceDN w:val="0"/>
        <w:spacing w:line="240" w:lineRule="auto"/>
        <w:jc w:val="both"/>
        <w:rPr>
          <w:rFonts w:ascii="Times New Roman" w:hAnsi="Times New Roman" w:cs="Times New Roman"/>
          <w:spacing w:val="5"/>
          <w:sz w:val="24"/>
          <w:szCs w:val="24"/>
          <w:lang w:val="id-ID"/>
        </w:rPr>
      </w:pPr>
      <w:r w:rsidRPr="00D469FD">
        <w:rPr>
          <w:rFonts w:ascii="Times New Roman" w:hAnsi="Times New Roman" w:cs="Times New Roman"/>
          <w:spacing w:val="11"/>
          <w:sz w:val="24"/>
          <w:szCs w:val="24"/>
          <w:lang w:val="id-ID"/>
        </w:rPr>
        <w:t>O</w:t>
      </w:r>
      <w:r w:rsidR="00F81C27" w:rsidRPr="00D469FD">
        <w:rPr>
          <w:rFonts w:ascii="Times New Roman" w:hAnsi="Times New Roman" w:cs="Times New Roman"/>
          <w:spacing w:val="4"/>
          <w:sz w:val="24"/>
          <w:szCs w:val="24"/>
          <w:lang w:val="id-ID"/>
        </w:rPr>
        <w:t>il shales</w:t>
      </w:r>
      <w:r w:rsidR="00D469FD" w:rsidRPr="00D469FD">
        <w:rPr>
          <w:rFonts w:ascii="Times New Roman" w:hAnsi="Times New Roman" w:cs="Times New Roman"/>
          <w:spacing w:val="4"/>
          <w:sz w:val="24"/>
          <w:szCs w:val="24"/>
        </w:rPr>
        <w:t xml:space="preserve"> </w:t>
      </w:r>
      <w:r w:rsidR="00F81C27" w:rsidRPr="00D469FD">
        <w:rPr>
          <w:rFonts w:ascii="Times New Roman" w:hAnsi="Times New Roman" w:cs="Times New Roman"/>
          <w:spacing w:val="4"/>
          <w:sz w:val="24"/>
          <w:szCs w:val="24"/>
          <w:lang w:val="id-ID"/>
        </w:rPr>
        <w:t xml:space="preserve">from </w:t>
      </w:r>
      <w:r w:rsidRPr="00D469FD">
        <w:rPr>
          <w:rFonts w:ascii="Times New Roman" w:hAnsi="Times New Roman" w:cs="Times New Roman"/>
          <w:spacing w:val="4"/>
          <w:sz w:val="24"/>
          <w:szCs w:val="24"/>
          <w:lang w:val="id-ID"/>
        </w:rPr>
        <w:t>Talawi</w:t>
      </w:r>
      <w:r w:rsidR="00F81C27" w:rsidRPr="00D469FD">
        <w:rPr>
          <w:rFonts w:ascii="Times New Roman" w:hAnsi="Times New Roman" w:cs="Times New Roman"/>
          <w:spacing w:val="4"/>
          <w:sz w:val="24"/>
          <w:szCs w:val="24"/>
          <w:lang w:val="id-ID"/>
        </w:rPr>
        <w:t xml:space="preserve">, Lubuktaruk, and Kiliran areas, </w:t>
      </w:r>
      <w:r w:rsidR="00F81C27" w:rsidRPr="00D469FD">
        <w:rPr>
          <w:rFonts w:ascii="Times New Roman" w:hAnsi="Times New Roman" w:cs="Times New Roman"/>
          <w:spacing w:val="12"/>
          <w:sz w:val="24"/>
          <w:szCs w:val="24"/>
        </w:rPr>
        <w:t xml:space="preserve">have </w:t>
      </w:r>
      <w:r w:rsidR="00F81C27" w:rsidRPr="00D469FD">
        <w:rPr>
          <w:rFonts w:ascii="Times New Roman" w:hAnsi="Times New Roman" w:cs="Times New Roman"/>
          <w:spacing w:val="5"/>
          <w:sz w:val="24"/>
          <w:szCs w:val="24"/>
        </w:rPr>
        <w:t xml:space="preserve">excellent </w:t>
      </w:r>
      <w:r w:rsidR="00F81C27" w:rsidRPr="00D469FD">
        <w:rPr>
          <w:rFonts w:ascii="Times New Roman" w:hAnsi="Times New Roman" w:cs="Times New Roman"/>
          <w:spacing w:val="5"/>
          <w:sz w:val="24"/>
          <w:szCs w:val="24"/>
          <w:lang w:val="id-ID"/>
        </w:rPr>
        <w:t xml:space="preserve">to fair </w:t>
      </w:r>
      <w:r w:rsidR="00F81C27" w:rsidRPr="00D469FD">
        <w:rPr>
          <w:rFonts w:ascii="Times New Roman" w:hAnsi="Times New Roman" w:cs="Times New Roman"/>
          <w:spacing w:val="5"/>
          <w:sz w:val="24"/>
          <w:szCs w:val="24"/>
        </w:rPr>
        <w:t>hydrocarbon potential</w:t>
      </w:r>
      <w:r w:rsidR="00F81C27" w:rsidRPr="00D469FD">
        <w:rPr>
          <w:rFonts w:ascii="Times New Roman" w:hAnsi="Times New Roman" w:cs="Times New Roman"/>
          <w:spacing w:val="5"/>
          <w:sz w:val="24"/>
          <w:szCs w:val="24"/>
          <w:lang w:val="id-ID"/>
        </w:rPr>
        <w:t xml:space="preserve"> level. </w:t>
      </w:r>
    </w:p>
    <w:p w:rsidR="00F81C27" w:rsidRPr="00D469FD" w:rsidRDefault="00F81C27" w:rsidP="00F81C27">
      <w:pPr>
        <w:pStyle w:val="ListParagraph"/>
        <w:widowControl w:val="0"/>
        <w:numPr>
          <w:ilvl w:val="0"/>
          <w:numId w:val="1"/>
        </w:numPr>
        <w:autoSpaceDE w:val="0"/>
        <w:autoSpaceDN w:val="0"/>
        <w:spacing w:line="240" w:lineRule="auto"/>
        <w:jc w:val="both"/>
        <w:rPr>
          <w:rFonts w:ascii="Times New Roman" w:hAnsi="Times New Roman" w:cs="Times New Roman"/>
          <w:spacing w:val="5"/>
          <w:sz w:val="24"/>
          <w:szCs w:val="24"/>
          <w:lang w:val="id-ID"/>
        </w:rPr>
      </w:pPr>
      <w:r w:rsidRPr="00D469FD">
        <w:rPr>
          <w:rFonts w:ascii="Times New Roman" w:hAnsi="Times New Roman" w:cs="Times New Roman"/>
          <w:spacing w:val="5"/>
          <w:sz w:val="24"/>
          <w:szCs w:val="24"/>
          <w:lang w:val="id-ID"/>
        </w:rPr>
        <w:t xml:space="preserve">The </w:t>
      </w:r>
      <w:r w:rsidRPr="00D469FD">
        <w:rPr>
          <w:rFonts w:ascii="Times New Roman" w:hAnsi="Times New Roman" w:cs="Times New Roman"/>
          <w:spacing w:val="6"/>
          <w:sz w:val="24"/>
          <w:szCs w:val="24"/>
        </w:rPr>
        <w:t xml:space="preserve">kerogen </w:t>
      </w:r>
      <w:r w:rsidRPr="00D469FD">
        <w:rPr>
          <w:rFonts w:ascii="Times New Roman" w:hAnsi="Times New Roman" w:cs="Times New Roman"/>
          <w:spacing w:val="6"/>
          <w:sz w:val="24"/>
          <w:szCs w:val="24"/>
          <w:lang w:val="id-ID"/>
        </w:rPr>
        <w:t xml:space="preserve">contained is included into Type I and II.  </w:t>
      </w:r>
    </w:p>
    <w:p w:rsidR="00F81C27" w:rsidRPr="00BB3FE4" w:rsidRDefault="00F81C27" w:rsidP="00F81C27">
      <w:pPr>
        <w:pStyle w:val="ListParagraph"/>
        <w:widowControl w:val="0"/>
        <w:numPr>
          <w:ilvl w:val="0"/>
          <w:numId w:val="1"/>
        </w:numPr>
        <w:autoSpaceDE w:val="0"/>
        <w:autoSpaceDN w:val="0"/>
        <w:spacing w:line="240" w:lineRule="auto"/>
        <w:jc w:val="both"/>
        <w:rPr>
          <w:rFonts w:ascii="Times New Roman" w:hAnsi="Times New Roman" w:cs="Times New Roman"/>
          <w:spacing w:val="5"/>
          <w:sz w:val="24"/>
          <w:szCs w:val="24"/>
          <w:lang w:val="id-ID"/>
        </w:rPr>
      </w:pPr>
      <w:r w:rsidRPr="00BB3FE4">
        <w:rPr>
          <w:rFonts w:ascii="Times New Roman" w:hAnsi="Times New Roman" w:cs="Times New Roman"/>
          <w:sz w:val="24"/>
          <w:szCs w:val="24"/>
        </w:rPr>
        <w:t xml:space="preserve">The </w:t>
      </w:r>
      <w:r w:rsidRPr="00BB3FE4">
        <w:rPr>
          <w:rFonts w:ascii="Times New Roman" w:hAnsi="Times New Roman" w:cs="Times New Roman"/>
          <w:sz w:val="24"/>
          <w:szCs w:val="24"/>
          <w:lang w:val="id-ID"/>
        </w:rPr>
        <w:t xml:space="preserve">oil </w:t>
      </w:r>
      <w:r w:rsidRPr="00BB3FE4">
        <w:rPr>
          <w:rFonts w:ascii="Times New Roman" w:hAnsi="Times New Roman" w:cs="Times New Roman"/>
          <w:sz w:val="24"/>
          <w:szCs w:val="24"/>
        </w:rPr>
        <w:t>shales</w:t>
      </w:r>
      <w:r w:rsidRPr="00BB3FE4">
        <w:rPr>
          <w:rFonts w:ascii="Times New Roman" w:hAnsi="Times New Roman" w:cs="Times New Roman"/>
          <w:sz w:val="24"/>
          <w:szCs w:val="24"/>
          <w:lang w:val="id-ID"/>
        </w:rPr>
        <w:t xml:space="preserve"> of the three areas studied</w:t>
      </w:r>
      <w:r w:rsidRPr="00BB3FE4">
        <w:rPr>
          <w:rFonts w:ascii="Times New Roman" w:hAnsi="Times New Roman" w:cs="Times New Roman"/>
          <w:sz w:val="24"/>
          <w:szCs w:val="24"/>
        </w:rPr>
        <w:t xml:space="preserve"> can be categori</w:t>
      </w:r>
      <w:r w:rsidRPr="00BB3FE4">
        <w:rPr>
          <w:rFonts w:ascii="Times New Roman" w:hAnsi="Times New Roman" w:cs="Times New Roman"/>
          <w:sz w:val="24"/>
          <w:szCs w:val="24"/>
          <w:lang w:val="id-ID"/>
        </w:rPr>
        <w:t>z</w:t>
      </w:r>
      <w:r w:rsidRPr="00BB3FE4">
        <w:rPr>
          <w:rFonts w:ascii="Times New Roman" w:hAnsi="Times New Roman" w:cs="Times New Roman"/>
          <w:sz w:val="24"/>
          <w:szCs w:val="24"/>
        </w:rPr>
        <w:t>ed as oil-prone source-rock</w:t>
      </w:r>
      <w:r w:rsidRPr="00BB3FE4">
        <w:rPr>
          <w:rFonts w:ascii="Times New Roman" w:hAnsi="Times New Roman" w:cs="Times New Roman"/>
          <w:sz w:val="24"/>
          <w:szCs w:val="24"/>
          <w:lang w:val="id-ID"/>
        </w:rPr>
        <w:t>, with thermal maturity varies from immature to early mature level.</w:t>
      </w:r>
    </w:p>
    <w:p w:rsidR="00F81C27" w:rsidRPr="00493F68" w:rsidRDefault="00493F68" w:rsidP="00F81C27">
      <w:pPr>
        <w:pStyle w:val="ListParagraph"/>
        <w:widowControl w:val="0"/>
        <w:numPr>
          <w:ilvl w:val="0"/>
          <w:numId w:val="1"/>
        </w:numPr>
        <w:autoSpaceDE w:val="0"/>
        <w:autoSpaceDN w:val="0"/>
        <w:spacing w:line="240" w:lineRule="auto"/>
        <w:jc w:val="both"/>
        <w:rPr>
          <w:rFonts w:ascii="Times New Roman" w:hAnsi="Times New Roman" w:cs="Times New Roman"/>
          <w:spacing w:val="5"/>
          <w:sz w:val="24"/>
          <w:szCs w:val="24"/>
          <w:lang w:val="id-ID"/>
        </w:rPr>
      </w:pPr>
      <w:r>
        <w:rPr>
          <w:rFonts w:ascii="Times New Roman" w:hAnsi="Times New Roman" w:cs="Times New Roman"/>
          <w:sz w:val="24"/>
          <w:szCs w:val="24"/>
          <w:lang w:val="id-ID"/>
        </w:rPr>
        <w:t>T</w:t>
      </w:r>
      <w:r w:rsidR="00F81C27" w:rsidRPr="00493F68">
        <w:rPr>
          <w:rFonts w:ascii="Times New Roman" w:hAnsi="Times New Roman" w:cs="Times New Roman"/>
          <w:sz w:val="24"/>
          <w:szCs w:val="24"/>
        </w:rPr>
        <w:t xml:space="preserve">he maceral composition </w:t>
      </w:r>
      <w:r w:rsidR="00F81C27" w:rsidRPr="00493F68">
        <w:rPr>
          <w:rFonts w:ascii="Times New Roman" w:hAnsi="Times New Roman" w:cs="Times New Roman"/>
          <w:sz w:val="24"/>
          <w:szCs w:val="24"/>
          <w:lang w:val="id-ID"/>
        </w:rPr>
        <w:t xml:space="preserve">of oil shales in the studied areas </w:t>
      </w:r>
      <w:r w:rsidR="00F81C27" w:rsidRPr="00493F68">
        <w:rPr>
          <w:rFonts w:ascii="Times New Roman" w:hAnsi="Times New Roman" w:cs="Times New Roman"/>
          <w:sz w:val="24"/>
          <w:szCs w:val="24"/>
        </w:rPr>
        <w:t xml:space="preserve">is dominated by exinite group </w:t>
      </w:r>
      <w:r w:rsidR="00F81C27" w:rsidRPr="00493F68">
        <w:rPr>
          <w:rFonts w:ascii="Times New Roman" w:hAnsi="Times New Roman" w:cs="Times New Roman"/>
          <w:sz w:val="24"/>
          <w:szCs w:val="24"/>
          <w:lang w:val="id-ID"/>
        </w:rPr>
        <w:t>mainly</w:t>
      </w:r>
      <w:r w:rsidR="00F81C27" w:rsidRPr="00493F68">
        <w:rPr>
          <w:rFonts w:ascii="Times New Roman" w:hAnsi="Times New Roman" w:cs="Times New Roman"/>
          <w:sz w:val="24"/>
          <w:szCs w:val="24"/>
        </w:rPr>
        <w:t xml:space="preserve"> lamalginite </w:t>
      </w:r>
      <w:r w:rsidR="00D469FD">
        <w:rPr>
          <w:rFonts w:ascii="Times New Roman" w:hAnsi="Times New Roman" w:cs="Times New Roman"/>
          <w:sz w:val="24"/>
          <w:szCs w:val="24"/>
        </w:rPr>
        <w:t xml:space="preserve">along </w:t>
      </w:r>
      <w:r w:rsidR="00F81C27" w:rsidRPr="00493F68">
        <w:rPr>
          <w:rFonts w:ascii="Times New Roman" w:hAnsi="Times New Roman" w:cs="Times New Roman"/>
          <w:sz w:val="24"/>
          <w:szCs w:val="24"/>
        </w:rPr>
        <w:t xml:space="preserve">with minor </w:t>
      </w:r>
      <w:r w:rsidR="00F81C27" w:rsidRPr="00493F68">
        <w:rPr>
          <w:rFonts w:ascii="Times New Roman" w:hAnsi="Times New Roman" w:cs="Times New Roman"/>
          <w:i/>
          <w:sz w:val="24"/>
          <w:szCs w:val="24"/>
          <w:lang w:val="id-ID"/>
        </w:rPr>
        <w:t>Botryococcus</w:t>
      </w:r>
      <w:r w:rsidR="00F81C27" w:rsidRPr="00493F68">
        <w:rPr>
          <w:rFonts w:ascii="Times New Roman" w:hAnsi="Times New Roman" w:cs="Times New Roman"/>
          <w:sz w:val="24"/>
          <w:szCs w:val="24"/>
          <w:lang w:val="id-ID"/>
        </w:rPr>
        <w:t xml:space="preserve">-telalginite, </w:t>
      </w:r>
      <w:r w:rsidR="00D469FD">
        <w:rPr>
          <w:rFonts w:ascii="Times New Roman" w:hAnsi="Times New Roman" w:cs="Times New Roman"/>
          <w:sz w:val="24"/>
          <w:szCs w:val="24"/>
        </w:rPr>
        <w:t>liptodetrinite</w:t>
      </w:r>
      <w:r w:rsidR="00F81C27" w:rsidRPr="00493F68">
        <w:rPr>
          <w:rFonts w:ascii="Times New Roman" w:hAnsi="Times New Roman" w:cs="Times New Roman"/>
          <w:sz w:val="24"/>
          <w:szCs w:val="24"/>
          <w:lang w:val="id-ID"/>
        </w:rPr>
        <w:t xml:space="preserve">, sporinite, cutinite, resinite, and bituminite. </w:t>
      </w:r>
      <w:r w:rsidR="00D469FD">
        <w:rPr>
          <w:rFonts w:ascii="Times New Roman" w:hAnsi="Times New Roman" w:cs="Times New Roman"/>
          <w:sz w:val="24"/>
          <w:szCs w:val="24"/>
        </w:rPr>
        <w:t xml:space="preserve">Mineral </w:t>
      </w:r>
      <w:proofErr w:type="gramStart"/>
      <w:r w:rsidR="00D469FD">
        <w:rPr>
          <w:rFonts w:ascii="Times New Roman" w:hAnsi="Times New Roman" w:cs="Times New Roman"/>
          <w:sz w:val="24"/>
          <w:szCs w:val="24"/>
        </w:rPr>
        <w:t xml:space="preserve">matter </w:t>
      </w:r>
      <w:r w:rsidR="00F81C27" w:rsidRPr="00493F68">
        <w:rPr>
          <w:rFonts w:ascii="Times New Roman" w:hAnsi="Times New Roman" w:cs="Times New Roman"/>
          <w:sz w:val="24"/>
          <w:szCs w:val="24"/>
        </w:rPr>
        <w:t>present are</w:t>
      </w:r>
      <w:proofErr w:type="gramEnd"/>
      <w:r w:rsidR="00F81C27" w:rsidRPr="00493F68">
        <w:rPr>
          <w:rFonts w:ascii="Times New Roman" w:hAnsi="Times New Roman" w:cs="Times New Roman"/>
          <w:sz w:val="24"/>
          <w:szCs w:val="24"/>
        </w:rPr>
        <w:t xml:space="preserve"> </w:t>
      </w:r>
      <w:r w:rsidR="00F81C27" w:rsidRPr="00493F68">
        <w:rPr>
          <w:rFonts w:ascii="Times New Roman" w:hAnsi="Times New Roman" w:cs="Times New Roman"/>
          <w:sz w:val="24"/>
          <w:szCs w:val="24"/>
          <w:lang w:val="id-ID"/>
        </w:rPr>
        <w:t xml:space="preserve">mainly framboidal pyrite. </w:t>
      </w:r>
    </w:p>
    <w:p w:rsidR="00F81C27" w:rsidRPr="00BB3FE4" w:rsidRDefault="00F81C27" w:rsidP="00F81C27">
      <w:pPr>
        <w:pStyle w:val="ListParagraph"/>
        <w:widowControl w:val="0"/>
        <w:numPr>
          <w:ilvl w:val="0"/>
          <w:numId w:val="1"/>
        </w:numPr>
        <w:autoSpaceDE w:val="0"/>
        <w:autoSpaceDN w:val="0"/>
        <w:spacing w:line="240" w:lineRule="auto"/>
        <w:jc w:val="both"/>
        <w:rPr>
          <w:rFonts w:ascii="Times New Roman" w:hAnsi="Times New Roman" w:cs="Times New Roman"/>
          <w:spacing w:val="5"/>
          <w:sz w:val="24"/>
          <w:szCs w:val="24"/>
          <w:lang w:val="id-ID"/>
        </w:rPr>
      </w:pPr>
      <w:r w:rsidRPr="00BB3FE4">
        <w:rPr>
          <w:rFonts w:ascii="Times New Roman" w:hAnsi="Times New Roman" w:cs="Times New Roman"/>
          <w:sz w:val="24"/>
          <w:szCs w:val="24"/>
          <w:lang w:val="id-ID"/>
        </w:rPr>
        <w:t xml:space="preserve">The majority of oil shales can be termed as </w:t>
      </w:r>
      <w:r w:rsidRPr="00BB3FE4">
        <w:rPr>
          <w:rFonts w:ascii="Times New Roman" w:hAnsi="Times New Roman" w:cs="Times New Roman"/>
          <w:sz w:val="24"/>
          <w:szCs w:val="24"/>
        </w:rPr>
        <w:t>“lamosites</w:t>
      </w:r>
      <w:r w:rsidRPr="00BB3FE4">
        <w:rPr>
          <w:rFonts w:ascii="Times New Roman" w:hAnsi="Times New Roman" w:cs="Times New Roman"/>
          <w:sz w:val="24"/>
          <w:szCs w:val="24"/>
          <w:lang w:val="id-ID"/>
        </w:rPr>
        <w:t>”</w:t>
      </w:r>
      <w:r w:rsidR="00D469FD">
        <w:rPr>
          <w:rFonts w:ascii="Times New Roman" w:hAnsi="Times New Roman" w:cs="Times New Roman"/>
          <w:sz w:val="24"/>
          <w:szCs w:val="24"/>
        </w:rPr>
        <w:t xml:space="preserve"> of Rundle-type.</w:t>
      </w:r>
    </w:p>
    <w:p w:rsidR="00F81C27" w:rsidRPr="00D469FD" w:rsidRDefault="00F81C27" w:rsidP="00F81C27">
      <w:pPr>
        <w:pStyle w:val="ListParagraph"/>
        <w:widowControl w:val="0"/>
        <w:numPr>
          <w:ilvl w:val="0"/>
          <w:numId w:val="1"/>
        </w:numPr>
        <w:autoSpaceDE w:val="0"/>
        <w:autoSpaceDN w:val="0"/>
        <w:spacing w:line="240" w:lineRule="auto"/>
        <w:jc w:val="both"/>
        <w:rPr>
          <w:rFonts w:ascii="Times New Roman" w:hAnsi="Times New Roman" w:cs="Times New Roman"/>
          <w:spacing w:val="5"/>
          <w:sz w:val="24"/>
          <w:szCs w:val="24"/>
          <w:lang w:val="id-ID"/>
        </w:rPr>
      </w:pPr>
      <w:r w:rsidRPr="00BB3FE4">
        <w:rPr>
          <w:rFonts w:ascii="Times New Roman" w:hAnsi="Times New Roman" w:cs="Times New Roman"/>
          <w:sz w:val="24"/>
          <w:szCs w:val="24"/>
          <w:lang w:val="id-ID"/>
        </w:rPr>
        <w:t>T</w:t>
      </w:r>
      <w:r w:rsidRPr="00BB3FE4">
        <w:rPr>
          <w:rFonts w:ascii="Times New Roman" w:hAnsi="Times New Roman" w:cs="Times New Roman"/>
          <w:sz w:val="24"/>
          <w:szCs w:val="24"/>
        </w:rPr>
        <w:t xml:space="preserve">he oil shale classified as a very good or excellent source-rock potential, </w:t>
      </w:r>
      <w:r w:rsidRPr="00BB3FE4">
        <w:rPr>
          <w:rFonts w:ascii="Times New Roman" w:hAnsi="Times New Roman" w:cs="Times New Roman"/>
          <w:sz w:val="24"/>
          <w:szCs w:val="24"/>
          <w:lang w:val="id-ID"/>
        </w:rPr>
        <w:t xml:space="preserve">which </w:t>
      </w:r>
      <w:r w:rsidRPr="00BB3FE4">
        <w:rPr>
          <w:rFonts w:ascii="Times New Roman" w:hAnsi="Times New Roman" w:cs="Times New Roman"/>
          <w:sz w:val="24"/>
          <w:szCs w:val="24"/>
        </w:rPr>
        <w:t xml:space="preserve">can be classified as an ‘effective source-rock’. </w:t>
      </w:r>
    </w:p>
    <w:p w:rsidR="00D469FD" w:rsidRPr="00493F68" w:rsidRDefault="00D469FD" w:rsidP="00F81C27">
      <w:pPr>
        <w:pStyle w:val="ListParagraph"/>
        <w:widowControl w:val="0"/>
        <w:numPr>
          <w:ilvl w:val="0"/>
          <w:numId w:val="1"/>
        </w:numPr>
        <w:autoSpaceDE w:val="0"/>
        <w:autoSpaceDN w:val="0"/>
        <w:spacing w:line="240" w:lineRule="auto"/>
        <w:jc w:val="both"/>
        <w:rPr>
          <w:rFonts w:ascii="Times New Roman" w:hAnsi="Times New Roman" w:cs="Times New Roman"/>
          <w:spacing w:val="5"/>
          <w:sz w:val="24"/>
          <w:szCs w:val="24"/>
          <w:lang w:val="id-ID"/>
        </w:rPr>
      </w:pPr>
      <w:r>
        <w:rPr>
          <w:rFonts w:ascii="Times New Roman" w:hAnsi="Times New Roman" w:cs="Times New Roman"/>
          <w:sz w:val="24"/>
          <w:szCs w:val="24"/>
        </w:rPr>
        <w:t xml:space="preserve">Depositional environment of the oil shales were </w:t>
      </w:r>
      <w:r>
        <w:rPr>
          <w:rFonts w:ascii="Times New Roman" w:hAnsi="Times New Roman" w:cs="Times New Roman"/>
          <w:color w:val="231F20"/>
          <w:spacing w:val="-1"/>
          <w:sz w:val="24"/>
          <w:szCs w:val="24"/>
        </w:rPr>
        <w:t>fresh to brackish lacustrine zones.</w:t>
      </w:r>
    </w:p>
    <w:p w:rsidR="00493F68" w:rsidRPr="00BB3FE4" w:rsidRDefault="00493F68" w:rsidP="00493F68">
      <w:pPr>
        <w:pStyle w:val="ListParagraph"/>
        <w:widowControl w:val="0"/>
        <w:autoSpaceDE w:val="0"/>
        <w:autoSpaceDN w:val="0"/>
        <w:spacing w:line="240" w:lineRule="auto"/>
        <w:jc w:val="both"/>
        <w:rPr>
          <w:rFonts w:ascii="Times New Roman" w:hAnsi="Times New Roman" w:cs="Times New Roman"/>
          <w:spacing w:val="5"/>
          <w:sz w:val="24"/>
          <w:szCs w:val="24"/>
          <w:lang w:val="id-ID"/>
        </w:rPr>
      </w:pPr>
    </w:p>
    <w:p w:rsidR="00F81C27" w:rsidRPr="00BB3FE4" w:rsidRDefault="00F81C27" w:rsidP="00F81C27">
      <w:pPr>
        <w:widowControl w:val="0"/>
        <w:autoSpaceDE w:val="0"/>
        <w:autoSpaceDN w:val="0"/>
        <w:spacing w:line="240" w:lineRule="auto"/>
        <w:jc w:val="both"/>
        <w:rPr>
          <w:rFonts w:ascii="Times New Roman" w:hAnsi="Times New Roman" w:cs="Times New Roman"/>
          <w:spacing w:val="5"/>
          <w:sz w:val="24"/>
          <w:szCs w:val="24"/>
        </w:rPr>
      </w:pPr>
    </w:p>
    <w:p w:rsidR="00F81C27" w:rsidRPr="00BB3FE4" w:rsidRDefault="00F81C27" w:rsidP="00F81C27">
      <w:pPr>
        <w:widowControl w:val="0"/>
        <w:autoSpaceDE w:val="0"/>
        <w:autoSpaceDN w:val="0"/>
        <w:spacing w:line="240" w:lineRule="auto"/>
        <w:jc w:val="both"/>
        <w:rPr>
          <w:rFonts w:ascii="Times New Roman" w:hAnsi="Times New Roman" w:cs="Times New Roman"/>
          <w:b/>
          <w:spacing w:val="5"/>
          <w:sz w:val="24"/>
          <w:szCs w:val="24"/>
        </w:rPr>
      </w:pPr>
      <w:r w:rsidRPr="00BB3FE4">
        <w:rPr>
          <w:rFonts w:ascii="Times New Roman" w:hAnsi="Times New Roman" w:cs="Times New Roman"/>
          <w:b/>
          <w:spacing w:val="5"/>
          <w:sz w:val="24"/>
          <w:szCs w:val="24"/>
        </w:rPr>
        <w:lastRenderedPageBreak/>
        <w:t>Acknowledgment</w:t>
      </w:r>
    </w:p>
    <w:p w:rsidR="00F81C27" w:rsidRPr="00BB3FE4" w:rsidRDefault="00F81C27" w:rsidP="00F81C27">
      <w:pPr>
        <w:widowControl w:val="0"/>
        <w:autoSpaceDE w:val="0"/>
        <w:autoSpaceDN w:val="0"/>
        <w:spacing w:line="240" w:lineRule="auto"/>
        <w:jc w:val="both"/>
        <w:rPr>
          <w:rFonts w:ascii="Times New Roman" w:hAnsi="Times New Roman" w:cs="Times New Roman"/>
          <w:spacing w:val="5"/>
          <w:sz w:val="24"/>
          <w:szCs w:val="24"/>
        </w:rPr>
      </w:pPr>
      <w:r w:rsidRPr="00BB3FE4">
        <w:rPr>
          <w:rFonts w:ascii="Times New Roman" w:hAnsi="Times New Roman" w:cs="Times New Roman"/>
          <w:spacing w:val="5"/>
          <w:sz w:val="24"/>
          <w:szCs w:val="24"/>
        </w:rPr>
        <w:t xml:space="preserve">The previous research was performed by the GRDC Team during 2000 and 2001. The recent research was carried out on 2013 in PTBA-UPO and in 2014 at PT. Karbindo Abesyapradhi and KUD Kunangan Coalfields. The authors wish to acknowledge the facilities provided by the managers of those three coal companies. The acknowledgment would not be complete without expressing thanks to colleagues who support and encourage during the research. </w:t>
      </w:r>
    </w:p>
    <w:p w:rsidR="00F81C27" w:rsidRPr="00BB3FE4" w:rsidRDefault="00F81C27" w:rsidP="00F81C27">
      <w:pPr>
        <w:rPr>
          <w:rFonts w:ascii="Times New Roman" w:hAnsi="Times New Roman" w:cs="Times New Roman"/>
          <w:sz w:val="24"/>
          <w:szCs w:val="24"/>
          <w:lang w:val="en-US"/>
        </w:rPr>
      </w:pPr>
    </w:p>
    <w:p w:rsidR="00F81C27" w:rsidRPr="00493F68" w:rsidRDefault="00F81C27" w:rsidP="00F81C27">
      <w:pPr>
        <w:widowControl w:val="0"/>
        <w:autoSpaceDE w:val="0"/>
        <w:autoSpaceDN w:val="0"/>
        <w:spacing w:line="240" w:lineRule="auto"/>
        <w:jc w:val="both"/>
        <w:rPr>
          <w:rFonts w:ascii="Times New Roman" w:hAnsi="Times New Roman" w:cs="Times New Roman"/>
          <w:b/>
          <w:spacing w:val="5"/>
          <w:sz w:val="24"/>
          <w:szCs w:val="24"/>
        </w:rPr>
      </w:pPr>
      <w:r w:rsidRPr="00493F68">
        <w:rPr>
          <w:rFonts w:ascii="Times New Roman" w:hAnsi="Times New Roman" w:cs="Times New Roman"/>
          <w:b/>
          <w:spacing w:val="5"/>
          <w:sz w:val="24"/>
          <w:szCs w:val="24"/>
        </w:rPr>
        <w:t>References</w:t>
      </w:r>
    </w:p>
    <w:p w:rsidR="00F81C27" w:rsidRPr="00493F68" w:rsidRDefault="00F81C27" w:rsidP="00F81C27">
      <w:pPr>
        <w:spacing w:after="0"/>
        <w:ind w:left="630" w:hanging="630"/>
        <w:jc w:val="both"/>
        <w:rPr>
          <w:rFonts w:ascii="Times New Roman" w:hAnsi="Times New Roman" w:cs="Times New Roman"/>
          <w:sz w:val="24"/>
          <w:szCs w:val="24"/>
        </w:rPr>
      </w:pPr>
      <w:r w:rsidRPr="00493F68">
        <w:rPr>
          <w:rFonts w:ascii="Times New Roman" w:hAnsi="Times New Roman" w:cs="Times New Roman"/>
          <w:sz w:val="24"/>
          <w:szCs w:val="24"/>
        </w:rPr>
        <w:t>Bustin, R.M., Cameron, A.R., Gri</w:t>
      </w:r>
      <w:r w:rsidR="00493F68">
        <w:rPr>
          <w:rFonts w:ascii="Times New Roman" w:hAnsi="Times New Roman" w:cs="Times New Roman"/>
          <w:sz w:val="24"/>
          <w:szCs w:val="24"/>
        </w:rPr>
        <w:t>eve, D.A., and Kalkreuth, W.D. ,1985.</w:t>
      </w:r>
      <w:r w:rsidRPr="00493F68">
        <w:rPr>
          <w:rFonts w:ascii="Times New Roman" w:hAnsi="Times New Roman" w:cs="Times New Roman"/>
          <w:sz w:val="24"/>
          <w:szCs w:val="24"/>
        </w:rPr>
        <w:t xml:space="preserve"> Coal Petrology: Its Principles, Methods and Applications.  </w:t>
      </w:r>
      <w:r w:rsidRPr="00493F68">
        <w:rPr>
          <w:rFonts w:ascii="Times New Roman" w:hAnsi="Times New Roman" w:cs="Times New Roman"/>
          <w:i/>
          <w:sz w:val="24"/>
          <w:szCs w:val="24"/>
        </w:rPr>
        <w:t>Geological Association of Canada, Short Course Notes</w:t>
      </w:r>
      <w:r w:rsidRPr="00493F68">
        <w:rPr>
          <w:rFonts w:ascii="Times New Roman" w:hAnsi="Times New Roman" w:cs="Times New Roman"/>
          <w:sz w:val="24"/>
          <w:szCs w:val="24"/>
        </w:rPr>
        <w:t>, 3, 2</w:t>
      </w:r>
      <w:r w:rsidRPr="00493F68">
        <w:rPr>
          <w:rFonts w:ascii="Times New Roman" w:hAnsi="Times New Roman" w:cs="Times New Roman"/>
          <w:sz w:val="24"/>
          <w:szCs w:val="24"/>
          <w:vertAlign w:val="superscript"/>
        </w:rPr>
        <w:t>nd</w:t>
      </w:r>
      <w:r w:rsidRPr="00493F68">
        <w:rPr>
          <w:rFonts w:ascii="Times New Roman" w:hAnsi="Times New Roman" w:cs="Times New Roman"/>
          <w:sz w:val="24"/>
          <w:szCs w:val="24"/>
        </w:rPr>
        <w:t xml:space="preserve"> ed., 273 p</w:t>
      </w:r>
      <w:r w:rsidR="00FB11A4">
        <w:rPr>
          <w:rFonts w:ascii="Times New Roman" w:hAnsi="Times New Roman" w:cs="Times New Roman"/>
          <w:sz w:val="24"/>
          <w:szCs w:val="24"/>
        </w:rPr>
        <w:t>p</w:t>
      </w:r>
      <w:r w:rsidRPr="00493F68">
        <w:rPr>
          <w:rFonts w:ascii="Times New Roman" w:hAnsi="Times New Roman" w:cs="Times New Roman"/>
          <w:sz w:val="24"/>
          <w:szCs w:val="24"/>
        </w:rPr>
        <w:t>.</w:t>
      </w:r>
    </w:p>
    <w:p w:rsidR="00F81C27" w:rsidRPr="00493F68" w:rsidRDefault="00F81C27" w:rsidP="00F81C27">
      <w:pPr>
        <w:spacing w:after="0"/>
        <w:ind w:left="720" w:hanging="720"/>
        <w:jc w:val="both"/>
        <w:rPr>
          <w:rFonts w:ascii="Times New Roman" w:hAnsi="Times New Roman" w:cs="Times New Roman"/>
          <w:sz w:val="24"/>
          <w:szCs w:val="24"/>
        </w:rPr>
      </w:pPr>
      <w:r w:rsidRPr="00493F68">
        <w:rPr>
          <w:rFonts w:ascii="Times New Roman" w:hAnsi="Times New Roman" w:cs="Times New Roman"/>
          <w:sz w:val="24"/>
          <w:szCs w:val="24"/>
        </w:rPr>
        <w:t xml:space="preserve">Cameron, N.R., Aspden, J.A., Suwarna, </w:t>
      </w:r>
      <w:r w:rsidR="00FB11A4">
        <w:rPr>
          <w:rFonts w:ascii="Times New Roman" w:hAnsi="Times New Roman" w:cs="Times New Roman"/>
          <w:sz w:val="24"/>
          <w:szCs w:val="24"/>
        </w:rPr>
        <w:t>N., and Suharsono, 1981.</w:t>
      </w:r>
      <w:r w:rsidRPr="00493F68">
        <w:rPr>
          <w:rFonts w:ascii="Times New Roman" w:hAnsi="Times New Roman" w:cs="Times New Roman"/>
          <w:sz w:val="24"/>
          <w:szCs w:val="24"/>
        </w:rPr>
        <w:t xml:space="preserve"> The Geology of Ombilin Basin, Singkarak Block, West Sumatra. </w:t>
      </w:r>
      <w:r w:rsidRPr="00FB11A4">
        <w:rPr>
          <w:rFonts w:ascii="Times New Roman" w:hAnsi="Times New Roman" w:cs="Times New Roman"/>
          <w:i/>
          <w:sz w:val="24"/>
          <w:szCs w:val="24"/>
        </w:rPr>
        <w:t>Unpublished Rept., P.T. Caltex Pacific Indonesia</w:t>
      </w:r>
      <w:r w:rsidRPr="00493F68">
        <w:rPr>
          <w:rFonts w:ascii="Times New Roman" w:hAnsi="Times New Roman" w:cs="Times New Roman"/>
          <w:sz w:val="24"/>
          <w:szCs w:val="24"/>
        </w:rPr>
        <w:t>, Nov. 1981, Rumbai, Sumatra.</w:t>
      </w:r>
    </w:p>
    <w:p w:rsidR="00F81C27" w:rsidRPr="00493F68" w:rsidRDefault="00F81C27" w:rsidP="00F81C27">
      <w:pPr>
        <w:spacing w:after="0"/>
        <w:ind w:left="709" w:hanging="709"/>
        <w:jc w:val="both"/>
        <w:rPr>
          <w:rFonts w:ascii="Times New Roman" w:hAnsi="Times New Roman" w:cs="Times New Roman"/>
          <w:sz w:val="24"/>
          <w:szCs w:val="24"/>
        </w:rPr>
      </w:pPr>
      <w:r w:rsidRPr="00493F68">
        <w:rPr>
          <w:rFonts w:ascii="Times New Roman" w:hAnsi="Times New Roman" w:cs="Times New Roman"/>
          <w:sz w:val="24"/>
          <w:szCs w:val="24"/>
        </w:rPr>
        <w:t>Cook, A.C., Hu</w:t>
      </w:r>
      <w:r w:rsidR="00FB11A4">
        <w:rPr>
          <w:rFonts w:ascii="Times New Roman" w:hAnsi="Times New Roman" w:cs="Times New Roman"/>
          <w:sz w:val="24"/>
          <w:szCs w:val="24"/>
        </w:rPr>
        <w:t>tton, A.C., and Sherwood, N.R., 1981.</w:t>
      </w:r>
      <w:r w:rsidRPr="00493F68">
        <w:rPr>
          <w:rFonts w:ascii="Times New Roman" w:hAnsi="Times New Roman" w:cs="Times New Roman"/>
          <w:sz w:val="24"/>
          <w:szCs w:val="24"/>
        </w:rPr>
        <w:t xml:space="preserve"> Classification of oil shales. </w:t>
      </w:r>
      <w:r w:rsidRPr="00FB11A4">
        <w:rPr>
          <w:rFonts w:ascii="Times New Roman" w:hAnsi="Times New Roman" w:cs="Times New Roman"/>
          <w:i/>
          <w:sz w:val="24"/>
          <w:szCs w:val="24"/>
        </w:rPr>
        <w:t>Bull. Cent. Rech. Exploration-Production Elf-Aquitaine</w:t>
      </w:r>
      <w:r w:rsidRPr="00493F68">
        <w:rPr>
          <w:rFonts w:ascii="Times New Roman" w:hAnsi="Times New Roman" w:cs="Times New Roman"/>
          <w:sz w:val="24"/>
          <w:szCs w:val="24"/>
        </w:rPr>
        <w:t xml:space="preserve">, 5, </w:t>
      </w:r>
      <w:r w:rsidR="00FB11A4">
        <w:rPr>
          <w:rFonts w:ascii="Times New Roman" w:hAnsi="Times New Roman" w:cs="Times New Roman"/>
          <w:sz w:val="24"/>
          <w:szCs w:val="24"/>
        </w:rPr>
        <w:t>p.</w:t>
      </w:r>
      <w:r w:rsidRPr="00493F68">
        <w:rPr>
          <w:rFonts w:ascii="Times New Roman" w:hAnsi="Times New Roman" w:cs="Times New Roman"/>
          <w:sz w:val="24"/>
          <w:szCs w:val="24"/>
        </w:rPr>
        <w:t>353-381.</w:t>
      </w:r>
    </w:p>
    <w:p w:rsidR="00F81C27" w:rsidRPr="00493F68" w:rsidRDefault="00FB11A4" w:rsidP="00F81C27">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Coster, G.L. de , 1974.</w:t>
      </w:r>
      <w:r w:rsidR="00F81C27" w:rsidRPr="00493F68">
        <w:rPr>
          <w:rFonts w:ascii="Times New Roman" w:hAnsi="Times New Roman" w:cs="Times New Roman"/>
          <w:sz w:val="24"/>
          <w:szCs w:val="24"/>
        </w:rPr>
        <w:t xml:space="preserve">  The geology of the central and south Sumatra basins. </w:t>
      </w:r>
      <w:r w:rsidR="00F81C27" w:rsidRPr="00FB11A4">
        <w:rPr>
          <w:rFonts w:ascii="Times New Roman" w:hAnsi="Times New Roman" w:cs="Times New Roman"/>
          <w:i/>
          <w:sz w:val="24"/>
          <w:szCs w:val="24"/>
        </w:rPr>
        <w:t>Indonesian Petroleum Association</w:t>
      </w:r>
      <w:r w:rsidR="00F81C27" w:rsidRPr="00493F68">
        <w:rPr>
          <w:rFonts w:ascii="Times New Roman" w:hAnsi="Times New Roman" w:cs="Times New Roman"/>
          <w:sz w:val="24"/>
          <w:szCs w:val="24"/>
        </w:rPr>
        <w:t xml:space="preserve">, </w:t>
      </w:r>
      <w:r>
        <w:rPr>
          <w:rFonts w:ascii="Times New Roman" w:hAnsi="Times New Roman" w:cs="Times New Roman"/>
          <w:sz w:val="24"/>
          <w:szCs w:val="24"/>
        </w:rPr>
        <w:t>p.</w:t>
      </w:r>
      <w:r w:rsidR="00F81C27" w:rsidRPr="00493F68">
        <w:rPr>
          <w:rFonts w:ascii="Times New Roman" w:hAnsi="Times New Roman" w:cs="Times New Roman"/>
          <w:sz w:val="24"/>
          <w:szCs w:val="24"/>
        </w:rPr>
        <w:t>77-110.</w:t>
      </w:r>
    </w:p>
    <w:p w:rsidR="00F81C27" w:rsidRPr="00493F68" w:rsidRDefault="00FB11A4" w:rsidP="00F81C27">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Dyni, J.R. ,2004.</w:t>
      </w:r>
      <w:r w:rsidR="00F81C27" w:rsidRPr="00493F68">
        <w:rPr>
          <w:rFonts w:ascii="Times New Roman" w:hAnsi="Times New Roman" w:cs="Times New Roman"/>
          <w:sz w:val="24"/>
          <w:szCs w:val="24"/>
        </w:rPr>
        <w:t xml:space="preserve">  Oil Shale. </w:t>
      </w:r>
      <w:r w:rsidR="00F81C27" w:rsidRPr="00FB11A4">
        <w:rPr>
          <w:rFonts w:ascii="Times New Roman" w:hAnsi="Times New Roman" w:cs="Times New Roman"/>
          <w:i/>
          <w:sz w:val="24"/>
          <w:szCs w:val="24"/>
        </w:rPr>
        <w:t>Energy Minerals Division</w:t>
      </w:r>
      <w:r w:rsidR="00F81C27" w:rsidRPr="00493F68">
        <w:rPr>
          <w:rFonts w:ascii="Times New Roman" w:hAnsi="Times New Roman" w:cs="Times New Roman"/>
          <w:sz w:val="24"/>
          <w:szCs w:val="24"/>
        </w:rPr>
        <w:t>. EMD Home &gt; Technical Areas: Oil Shale, 10 p</w:t>
      </w:r>
      <w:r>
        <w:rPr>
          <w:rFonts w:ascii="Times New Roman" w:hAnsi="Times New Roman" w:cs="Times New Roman"/>
          <w:sz w:val="24"/>
          <w:szCs w:val="24"/>
        </w:rPr>
        <w:t>p</w:t>
      </w:r>
      <w:r w:rsidR="00F81C27" w:rsidRPr="00493F68">
        <w:rPr>
          <w:rFonts w:ascii="Times New Roman" w:hAnsi="Times New Roman" w:cs="Times New Roman"/>
          <w:sz w:val="24"/>
          <w:szCs w:val="24"/>
        </w:rPr>
        <w:t>.</w:t>
      </w:r>
    </w:p>
    <w:p w:rsidR="00F81C27" w:rsidRPr="00493F68" w:rsidRDefault="00F81C27" w:rsidP="00F81C27">
      <w:pPr>
        <w:spacing w:after="0"/>
        <w:ind w:left="630" w:hanging="630"/>
        <w:jc w:val="both"/>
        <w:rPr>
          <w:rFonts w:ascii="Times New Roman" w:hAnsi="Times New Roman" w:cs="Times New Roman"/>
          <w:sz w:val="24"/>
          <w:szCs w:val="24"/>
        </w:rPr>
      </w:pPr>
      <w:r w:rsidRPr="00493F68">
        <w:rPr>
          <w:rFonts w:ascii="Times New Roman" w:hAnsi="Times New Roman" w:cs="Times New Roman"/>
          <w:sz w:val="24"/>
          <w:szCs w:val="24"/>
        </w:rPr>
        <w:t>Espitalie, J., Laporte, J.L., Madec, M., Marquis, F., Leplat, P</w:t>
      </w:r>
      <w:r w:rsidR="00FB11A4">
        <w:rPr>
          <w:rFonts w:ascii="Times New Roman" w:hAnsi="Times New Roman" w:cs="Times New Roman"/>
          <w:sz w:val="24"/>
          <w:szCs w:val="24"/>
        </w:rPr>
        <w:t>., Paulet, J. and Boutefeu, A., 1977.</w:t>
      </w:r>
      <w:r w:rsidRPr="00493F68">
        <w:rPr>
          <w:rFonts w:ascii="Times New Roman" w:hAnsi="Times New Roman" w:cs="Times New Roman"/>
          <w:sz w:val="24"/>
          <w:szCs w:val="24"/>
        </w:rPr>
        <w:t xml:space="preserve"> Methode rapide de caracterisation des roches meres, de leur potentiel petrolier et de leur degre d’evolution. </w:t>
      </w:r>
      <w:r w:rsidRPr="00FB11A4">
        <w:rPr>
          <w:rFonts w:ascii="Times New Roman" w:hAnsi="Times New Roman" w:cs="Times New Roman"/>
          <w:i/>
          <w:sz w:val="24"/>
          <w:szCs w:val="24"/>
        </w:rPr>
        <w:t>Rev. Inst. Franc. Petrole</w:t>
      </w:r>
      <w:r w:rsidRPr="00493F68">
        <w:rPr>
          <w:rFonts w:ascii="Times New Roman" w:hAnsi="Times New Roman" w:cs="Times New Roman"/>
          <w:sz w:val="24"/>
          <w:szCs w:val="24"/>
        </w:rPr>
        <w:t xml:space="preserve">, 32, </w:t>
      </w:r>
      <w:r w:rsidR="00FB11A4">
        <w:rPr>
          <w:rFonts w:ascii="Times New Roman" w:hAnsi="Times New Roman" w:cs="Times New Roman"/>
          <w:sz w:val="24"/>
          <w:szCs w:val="24"/>
        </w:rPr>
        <w:t>p.</w:t>
      </w:r>
      <w:r w:rsidRPr="00493F68">
        <w:rPr>
          <w:rFonts w:ascii="Times New Roman" w:hAnsi="Times New Roman" w:cs="Times New Roman"/>
          <w:sz w:val="24"/>
          <w:szCs w:val="24"/>
        </w:rPr>
        <w:t>1, 23-40.</w:t>
      </w:r>
    </w:p>
    <w:p w:rsidR="00F81C27" w:rsidRPr="00493F68" w:rsidRDefault="00F81C27" w:rsidP="00F81C27">
      <w:pPr>
        <w:spacing w:after="0"/>
        <w:ind w:left="720" w:hanging="720"/>
        <w:jc w:val="both"/>
        <w:rPr>
          <w:rFonts w:ascii="Times New Roman" w:hAnsi="Times New Roman" w:cs="Times New Roman"/>
          <w:sz w:val="24"/>
          <w:szCs w:val="24"/>
        </w:rPr>
      </w:pPr>
      <w:r w:rsidRPr="00493F68">
        <w:rPr>
          <w:rFonts w:ascii="Times New Roman" w:hAnsi="Times New Roman" w:cs="Times New Roman"/>
          <w:sz w:val="24"/>
          <w:szCs w:val="24"/>
        </w:rPr>
        <w:t xml:space="preserve">Foscolos, A.E., </w:t>
      </w:r>
      <w:r w:rsidR="00FB11A4">
        <w:rPr>
          <w:rFonts w:ascii="Times New Roman" w:hAnsi="Times New Roman" w:cs="Times New Roman"/>
          <w:sz w:val="24"/>
          <w:szCs w:val="24"/>
        </w:rPr>
        <w:t>Powell, T.G., and Gunther, P.R.,1976.</w:t>
      </w:r>
      <w:r w:rsidRPr="00493F68">
        <w:rPr>
          <w:rFonts w:ascii="Times New Roman" w:hAnsi="Times New Roman" w:cs="Times New Roman"/>
          <w:sz w:val="24"/>
          <w:szCs w:val="24"/>
        </w:rPr>
        <w:t xml:space="preserve"> The use of clay minerals and inorganic and organic geochemical indicators for evaluating the degree of diagenesis and oil generati</w:t>
      </w:r>
      <w:r w:rsidR="00FB11A4">
        <w:rPr>
          <w:rFonts w:ascii="Times New Roman" w:hAnsi="Times New Roman" w:cs="Times New Roman"/>
          <w:sz w:val="24"/>
          <w:szCs w:val="24"/>
        </w:rPr>
        <w:t>ng potential of shales. Geochimica et Cosmochimica</w:t>
      </w:r>
      <w:r w:rsidRPr="00493F68">
        <w:rPr>
          <w:rFonts w:ascii="Times New Roman" w:hAnsi="Times New Roman" w:cs="Times New Roman"/>
          <w:sz w:val="24"/>
          <w:szCs w:val="24"/>
        </w:rPr>
        <w:t xml:space="preserve">, Acta, 40, </w:t>
      </w:r>
      <w:r w:rsidR="00FB11A4">
        <w:rPr>
          <w:rFonts w:ascii="Times New Roman" w:hAnsi="Times New Roman" w:cs="Times New Roman"/>
          <w:sz w:val="24"/>
          <w:szCs w:val="24"/>
        </w:rPr>
        <w:t>p.</w:t>
      </w:r>
      <w:r w:rsidRPr="00493F68">
        <w:rPr>
          <w:rFonts w:ascii="Times New Roman" w:hAnsi="Times New Roman" w:cs="Times New Roman"/>
          <w:sz w:val="24"/>
          <w:szCs w:val="24"/>
        </w:rPr>
        <w:t>953-966.</w:t>
      </w:r>
    </w:p>
    <w:p w:rsidR="00F81C27" w:rsidRPr="00493F68" w:rsidRDefault="00F81C27" w:rsidP="00F81C27">
      <w:pPr>
        <w:spacing w:after="0"/>
        <w:ind w:left="720" w:hanging="720"/>
        <w:jc w:val="both"/>
        <w:rPr>
          <w:rFonts w:ascii="Times New Roman" w:hAnsi="Times New Roman" w:cs="Times New Roman"/>
          <w:sz w:val="24"/>
          <w:szCs w:val="24"/>
        </w:rPr>
      </w:pPr>
      <w:r w:rsidRPr="00493F68">
        <w:rPr>
          <w:rFonts w:ascii="Times New Roman" w:hAnsi="Times New Roman" w:cs="Times New Roman"/>
          <w:spacing w:val="5"/>
          <w:sz w:val="24"/>
          <w:szCs w:val="24"/>
        </w:rPr>
        <w:t xml:space="preserve">Hermiyanto, M. </w:t>
      </w:r>
      <w:r w:rsidRPr="00493F68">
        <w:rPr>
          <w:rFonts w:ascii="Times New Roman" w:hAnsi="Times New Roman" w:cs="Times New Roman"/>
          <w:i/>
          <w:spacing w:val="5"/>
          <w:sz w:val="24"/>
          <w:szCs w:val="24"/>
        </w:rPr>
        <w:t>et al.</w:t>
      </w:r>
      <w:r w:rsidR="00FB11A4">
        <w:rPr>
          <w:rFonts w:ascii="Times New Roman" w:hAnsi="Times New Roman" w:cs="Times New Roman"/>
          <w:spacing w:val="5"/>
          <w:sz w:val="24"/>
          <w:szCs w:val="24"/>
        </w:rPr>
        <w:t xml:space="preserve"> ,2008.</w:t>
      </w:r>
      <w:r w:rsidRPr="00493F68">
        <w:rPr>
          <w:rFonts w:ascii="Times New Roman" w:hAnsi="Times New Roman" w:cs="Times New Roman"/>
          <w:spacing w:val="5"/>
          <w:sz w:val="24"/>
          <w:szCs w:val="24"/>
        </w:rPr>
        <w:t xml:space="preserve"> Laporan penelitian geodinamika Cekungan Sumatra Selatan di daerah Sinamar, Jambi. </w:t>
      </w:r>
      <w:r w:rsidRPr="00FB11A4">
        <w:rPr>
          <w:rFonts w:ascii="Times New Roman" w:hAnsi="Times New Roman" w:cs="Times New Roman"/>
          <w:i/>
          <w:spacing w:val="5"/>
          <w:sz w:val="24"/>
          <w:szCs w:val="24"/>
        </w:rPr>
        <w:t>Laporan internal PSG</w:t>
      </w:r>
      <w:r w:rsidRPr="00493F68">
        <w:rPr>
          <w:rFonts w:ascii="Times New Roman" w:hAnsi="Times New Roman" w:cs="Times New Roman"/>
          <w:spacing w:val="5"/>
          <w:sz w:val="24"/>
          <w:szCs w:val="24"/>
        </w:rPr>
        <w:t>.</w:t>
      </w:r>
    </w:p>
    <w:p w:rsidR="00F81C27" w:rsidRPr="00493F68" w:rsidRDefault="00F81C27" w:rsidP="00F81C27">
      <w:pPr>
        <w:pStyle w:val="BodyText2"/>
        <w:spacing w:after="0" w:line="276" w:lineRule="auto"/>
        <w:ind w:left="630" w:hanging="630"/>
        <w:jc w:val="both"/>
        <w:rPr>
          <w:lang w:val="pt-BR"/>
        </w:rPr>
      </w:pPr>
      <w:r w:rsidRPr="00493F68">
        <w:rPr>
          <w:lang w:val="pt-BR"/>
        </w:rPr>
        <w:t>Heryanto, R., S</w:t>
      </w:r>
      <w:r w:rsidR="00FB11A4">
        <w:rPr>
          <w:lang w:val="pt-BR"/>
        </w:rPr>
        <w:t>uwarna, N., and Panggabean, H.</w:t>
      </w:r>
      <w:r w:rsidR="00FB11A4">
        <w:rPr>
          <w:lang w:val="id-ID"/>
        </w:rPr>
        <w:t xml:space="preserve">, </w:t>
      </w:r>
      <w:r w:rsidR="00FB11A4">
        <w:rPr>
          <w:lang w:val="pt-BR"/>
        </w:rPr>
        <w:t>2002</w:t>
      </w:r>
      <w:r w:rsidR="00FB11A4">
        <w:rPr>
          <w:lang w:val="id-ID"/>
        </w:rPr>
        <w:t>.</w:t>
      </w:r>
      <w:r w:rsidRPr="00493F68">
        <w:rPr>
          <w:lang w:val="pt-BR"/>
        </w:rPr>
        <w:t xml:space="preserve"> The Lakat Formation in the Northeastern Flank of the Tigapuluh Mountains and Its</w:t>
      </w:r>
      <w:r w:rsidR="00FB11A4">
        <w:rPr>
          <w:lang w:val="pt-BR"/>
        </w:rPr>
        <w:t xml:space="preserve"> Possibilities as a Source Rock</w:t>
      </w:r>
      <w:r w:rsidR="00FB11A4">
        <w:rPr>
          <w:lang w:val="id-ID"/>
        </w:rPr>
        <w:t>.</w:t>
      </w:r>
      <w:r w:rsidRPr="00FB11A4">
        <w:rPr>
          <w:i/>
          <w:lang w:val="pt-BR"/>
        </w:rPr>
        <w:t>Proceedings of 30</w:t>
      </w:r>
      <w:r w:rsidRPr="00FB11A4">
        <w:rPr>
          <w:i/>
          <w:vertAlign w:val="superscript"/>
          <w:lang w:val="pt-BR"/>
        </w:rPr>
        <w:t>th</w:t>
      </w:r>
      <w:r w:rsidRPr="00FB11A4">
        <w:rPr>
          <w:i/>
          <w:lang w:val="pt-BR"/>
        </w:rPr>
        <w:t xml:space="preserve"> Annual Convention Indonesian Association of Geologist and 10</w:t>
      </w:r>
      <w:r w:rsidRPr="00FB11A4">
        <w:rPr>
          <w:i/>
          <w:vertAlign w:val="superscript"/>
          <w:lang w:val="pt-BR"/>
        </w:rPr>
        <w:t xml:space="preserve">th </w:t>
      </w:r>
      <w:r w:rsidRPr="00FB11A4">
        <w:rPr>
          <w:i/>
          <w:lang w:val="pt-BR"/>
        </w:rPr>
        <w:t>Geosea Regional Congress on Geology, Mineral, and Energy Resources</w:t>
      </w:r>
      <w:r w:rsidRPr="00493F68">
        <w:rPr>
          <w:lang w:val="pt-BR"/>
        </w:rPr>
        <w:t>.</w:t>
      </w:r>
    </w:p>
    <w:p w:rsidR="00F81C27" w:rsidRPr="00493F68" w:rsidRDefault="00F81C27" w:rsidP="00F81C27">
      <w:pPr>
        <w:spacing w:after="0"/>
        <w:ind w:left="630" w:hanging="630"/>
        <w:jc w:val="both"/>
        <w:rPr>
          <w:rFonts w:ascii="Times New Roman" w:hAnsi="Times New Roman" w:cs="Times New Roman"/>
          <w:sz w:val="24"/>
          <w:szCs w:val="24"/>
        </w:rPr>
      </w:pPr>
      <w:r w:rsidRPr="00493F68">
        <w:rPr>
          <w:rFonts w:ascii="Times New Roman" w:hAnsi="Times New Roman" w:cs="Times New Roman"/>
          <w:sz w:val="24"/>
          <w:szCs w:val="24"/>
        </w:rPr>
        <w:t xml:space="preserve">Hutton, A.C. </w:t>
      </w:r>
      <w:r w:rsidR="00FB11A4">
        <w:rPr>
          <w:rFonts w:ascii="Times New Roman" w:hAnsi="Times New Roman" w:cs="Times New Roman"/>
          <w:sz w:val="24"/>
          <w:szCs w:val="24"/>
        </w:rPr>
        <w:t>, 1980.</w:t>
      </w:r>
      <w:r w:rsidRPr="00493F68">
        <w:rPr>
          <w:rFonts w:ascii="Times New Roman" w:hAnsi="Times New Roman" w:cs="Times New Roman"/>
          <w:sz w:val="24"/>
          <w:szCs w:val="24"/>
        </w:rPr>
        <w:t xml:space="preserve"> Organic petrology of some Australian and overseas oil shales. </w:t>
      </w:r>
      <w:r w:rsidRPr="00FB11A4">
        <w:rPr>
          <w:rFonts w:ascii="Times New Roman" w:hAnsi="Times New Roman" w:cs="Times New Roman"/>
          <w:i/>
          <w:sz w:val="24"/>
          <w:szCs w:val="24"/>
        </w:rPr>
        <w:t>In</w:t>
      </w:r>
      <w:r w:rsidRPr="00493F68">
        <w:rPr>
          <w:rFonts w:ascii="Times New Roman" w:hAnsi="Times New Roman" w:cs="Times New Roman"/>
          <w:sz w:val="24"/>
          <w:szCs w:val="24"/>
        </w:rPr>
        <w:t xml:space="preserve">: Cook, A.C. and Kantsler, A.J. (eds.), </w:t>
      </w:r>
      <w:r w:rsidRPr="00FB11A4">
        <w:rPr>
          <w:rFonts w:ascii="Times New Roman" w:hAnsi="Times New Roman" w:cs="Times New Roman"/>
          <w:i/>
          <w:sz w:val="24"/>
          <w:szCs w:val="24"/>
        </w:rPr>
        <w:t>Oil Shale Petrology Workshop</w:t>
      </w:r>
      <w:r w:rsidRPr="00493F68">
        <w:rPr>
          <w:rFonts w:ascii="Times New Roman" w:hAnsi="Times New Roman" w:cs="Times New Roman"/>
          <w:sz w:val="24"/>
          <w:szCs w:val="24"/>
        </w:rPr>
        <w:t>, Wollongong, 1980. Kei</w:t>
      </w:r>
      <w:r w:rsidR="00FB11A4">
        <w:rPr>
          <w:rFonts w:ascii="Times New Roman" w:hAnsi="Times New Roman" w:cs="Times New Roman"/>
          <w:sz w:val="24"/>
          <w:szCs w:val="24"/>
        </w:rPr>
        <w:t>raville Kopiers, Wollongong, p.</w:t>
      </w:r>
      <w:r w:rsidRPr="00493F68">
        <w:rPr>
          <w:rFonts w:ascii="Times New Roman" w:hAnsi="Times New Roman" w:cs="Times New Roman"/>
          <w:sz w:val="24"/>
          <w:szCs w:val="24"/>
        </w:rPr>
        <w:t>42-49.</w:t>
      </w:r>
    </w:p>
    <w:p w:rsidR="00F81C27" w:rsidRPr="00493F68" w:rsidRDefault="00FB11A4" w:rsidP="00F81C27">
      <w:pPr>
        <w:spacing w:after="0"/>
        <w:ind w:left="432" w:hanging="432"/>
        <w:jc w:val="both"/>
        <w:rPr>
          <w:rFonts w:ascii="Times New Roman" w:hAnsi="Times New Roman" w:cs="Times New Roman"/>
          <w:sz w:val="24"/>
          <w:szCs w:val="24"/>
        </w:rPr>
      </w:pPr>
      <w:r>
        <w:rPr>
          <w:rFonts w:ascii="Times New Roman" w:hAnsi="Times New Roman" w:cs="Times New Roman"/>
          <w:sz w:val="24"/>
          <w:szCs w:val="24"/>
        </w:rPr>
        <w:t>Hutton, A.C., 1987.</w:t>
      </w:r>
      <w:r w:rsidR="00F81C27" w:rsidRPr="00493F68">
        <w:rPr>
          <w:rFonts w:ascii="Times New Roman" w:hAnsi="Times New Roman" w:cs="Times New Roman"/>
          <w:sz w:val="24"/>
          <w:szCs w:val="24"/>
        </w:rPr>
        <w:t xml:space="preserve"> Petrographic classification of oil shales. </w:t>
      </w:r>
      <w:r w:rsidR="00F81C27" w:rsidRPr="00FB11A4">
        <w:rPr>
          <w:rFonts w:ascii="Times New Roman" w:hAnsi="Times New Roman" w:cs="Times New Roman"/>
          <w:i/>
          <w:sz w:val="24"/>
          <w:szCs w:val="24"/>
        </w:rPr>
        <w:t>International Journal of Coal Geology</w:t>
      </w:r>
      <w:r w:rsidR="00F81C27" w:rsidRPr="00493F68">
        <w:rPr>
          <w:rFonts w:ascii="Times New Roman" w:hAnsi="Times New Roman" w:cs="Times New Roman"/>
          <w:sz w:val="24"/>
          <w:szCs w:val="24"/>
        </w:rPr>
        <w:t xml:space="preserve">, 8, </w:t>
      </w:r>
      <w:r>
        <w:rPr>
          <w:rFonts w:ascii="Times New Roman" w:hAnsi="Times New Roman" w:cs="Times New Roman"/>
          <w:sz w:val="24"/>
          <w:szCs w:val="24"/>
        </w:rPr>
        <w:t>p.</w:t>
      </w:r>
      <w:r w:rsidR="00F81C27" w:rsidRPr="00493F68">
        <w:rPr>
          <w:rFonts w:ascii="Times New Roman" w:hAnsi="Times New Roman" w:cs="Times New Roman"/>
          <w:sz w:val="24"/>
          <w:szCs w:val="24"/>
        </w:rPr>
        <w:t>203-</w:t>
      </w:r>
      <w:r>
        <w:rPr>
          <w:rFonts w:ascii="Times New Roman" w:hAnsi="Times New Roman" w:cs="Times New Roman"/>
          <w:sz w:val="24"/>
          <w:szCs w:val="24"/>
        </w:rPr>
        <w:t>......</w:t>
      </w:r>
    </w:p>
    <w:p w:rsidR="00F81C27" w:rsidRPr="00493F68" w:rsidRDefault="00FB11A4" w:rsidP="00F81C27">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Koning, T., 1985.</w:t>
      </w:r>
      <w:r w:rsidR="00F81C27" w:rsidRPr="00493F68">
        <w:rPr>
          <w:rFonts w:ascii="Times New Roman" w:hAnsi="Times New Roman" w:cs="Times New Roman"/>
          <w:sz w:val="24"/>
          <w:szCs w:val="24"/>
        </w:rPr>
        <w:t xml:space="preserve"> Petroleum geology of the Ombilin Intermontane Basin, West Sumatra. </w:t>
      </w:r>
      <w:r w:rsidR="00F81C27" w:rsidRPr="00FB11A4">
        <w:rPr>
          <w:rFonts w:ascii="Times New Roman" w:hAnsi="Times New Roman" w:cs="Times New Roman"/>
          <w:i/>
          <w:sz w:val="24"/>
          <w:szCs w:val="24"/>
        </w:rPr>
        <w:t>Proceed</w:t>
      </w:r>
      <w:r w:rsidRPr="00FB11A4">
        <w:rPr>
          <w:rFonts w:ascii="Times New Roman" w:hAnsi="Times New Roman" w:cs="Times New Roman"/>
          <w:i/>
          <w:sz w:val="24"/>
          <w:szCs w:val="24"/>
        </w:rPr>
        <w:t>ings,</w:t>
      </w:r>
      <w:r w:rsidR="00F81C27" w:rsidRPr="00FB11A4">
        <w:rPr>
          <w:rFonts w:ascii="Times New Roman" w:hAnsi="Times New Roman" w:cs="Times New Roman"/>
          <w:i/>
          <w:sz w:val="24"/>
          <w:szCs w:val="24"/>
        </w:rPr>
        <w:t xml:space="preserve"> 14</w:t>
      </w:r>
      <w:r w:rsidR="00F81C27" w:rsidRPr="00FB11A4">
        <w:rPr>
          <w:rFonts w:ascii="Times New Roman" w:hAnsi="Times New Roman" w:cs="Times New Roman"/>
          <w:i/>
          <w:sz w:val="24"/>
          <w:szCs w:val="24"/>
          <w:vertAlign w:val="superscript"/>
        </w:rPr>
        <w:t>th</w:t>
      </w:r>
      <w:r w:rsidR="00F81C27" w:rsidRPr="00FB11A4">
        <w:rPr>
          <w:rFonts w:ascii="Times New Roman" w:hAnsi="Times New Roman" w:cs="Times New Roman"/>
          <w:i/>
          <w:sz w:val="24"/>
          <w:szCs w:val="24"/>
        </w:rPr>
        <w:t xml:space="preserve"> Annual Convention of Indonesian Petroleum Association</w:t>
      </w:r>
      <w:r w:rsidR="00F81C27" w:rsidRPr="00493F68">
        <w:rPr>
          <w:rFonts w:ascii="Times New Roman" w:hAnsi="Times New Roman" w:cs="Times New Roman"/>
          <w:sz w:val="24"/>
          <w:szCs w:val="24"/>
        </w:rPr>
        <w:t xml:space="preserve">, Jakarta, October, </w:t>
      </w:r>
      <w:r>
        <w:rPr>
          <w:rFonts w:ascii="Times New Roman" w:hAnsi="Times New Roman" w:cs="Times New Roman"/>
          <w:sz w:val="24"/>
          <w:szCs w:val="24"/>
        </w:rPr>
        <w:t>p.</w:t>
      </w:r>
      <w:r w:rsidR="00F81C27" w:rsidRPr="00493F68">
        <w:rPr>
          <w:rFonts w:ascii="Times New Roman" w:hAnsi="Times New Roman" w:cs="Times New Roman"/>
          <w:sz w:val="24"/>
          <w:szCs w:val="24"/>
        </w:rPr>
        <w:t>117-137.</w:t>
      </w:r>
    </w:p>
    <w:p w:rsidR="00F81C27" w:rsidRPr="00493F68" w:rsidRDefault="00F81C27" w:rsidP="00F81C27">
      <w:pPr>
        <w:spacing w:after="0"/>
        <w:ind w:left="720" w:hanging="720"/>
        <w:jc w:val="both"/>
        <w:rPr>
          <w:rFonts w:ascii="Times New Roman" w:hAnsi="Times New Roman" w:cs="Times New Roman"/>
          <w:sz w:val="24"/>
          <w:szCs w:val="24"/>
        </w:rPr>
      </w:pPr>
      <w:r w:rsidRPr="00493F68">
        <w:rPr>
          <w:rFonts w:ascii="Times New Roman" w:hAnsi="Times New Roman" w:cs="Times New Roman"/>
          <w:sz w:val="24"/>
          <w:szCs w:val="24"/>
        </w:rPr>
        <w:lastRenderedPageBreak/>
        <w:t>ICCP, Internationa</w:t>
      </w:r>
      <w:r w:rsidR="00FB11A4">
        <w:rPr>
          <w:rFonts w:ascii="Times New Roman" w:hAnsi="Times New Roman" w:cs="Times New Roman"/>
          <w:sz w:val="24"/>
          <w:szCs w:val="24"/>
        </w:rPr>
        <w:t xml:space="preserve">l Committee for Coal </w:t>
      </w:r>
      <w:r w:rsidR="00FB11A4" w:rsidRPr="00FB11A4">
        <w:rPr>
          <w:rFonts w:ascii="Times New Roman" w:hAnsi="Times New Roman" w:cs="Times New Roman"/>
          <w:i/>
          <w:sz w:val="24"/>
          <w:szCs w:val="24"/>
        </w:rPr>
        <w:t>Petrology, 1963.</w:t>
      </w:r>
      <w:r w:rsidRPr="00FB11A4">
        <w:rPr>
          <w:rFonts w:ascii="Times New Roman" w:hAnsi="Times New Roman" w:cs="Times New Roman"/>
          <w:i/>
          <w:sz w:val="24"/>
          <w:szCs w:val="24"/>
        </w:rPr>
        <w:t xml:space="preserve"> Handbook, 2</w:t>
      </w:r>
      <w:r w:rsidRPr="00FB11A4">
        <w:rPr>
          <w:rFonts w:ascii="Times New Roman" w:hAnsi="Times New Roman" w:cs="Times New Roman"/>
          <w:i/>
          <w:sz w:val="24"/>
          <w:szCs w:val="24"/>
          <w:vertAlign w:val="superscript"/>
        </w:rPr>
        <w:t>nd</w:t>
      </w:r>
      <w:r w:rsidRPr="00FB11A4">
        <w:rPr>
          <w:rFonts w:ascii="Times New Roman" w:hAnsi="Times New Roman" w:cs="Times New Roman"/>
          <w:i/>
          <w:sz w:val="24"/>
          <w:szCs w:val="24"/>
        </w:rPr>
        <w:t xml:space="preserve"> Edition, Centre</w:t>
      </w:r>
      <w:r w:rsidRPr="00493F68">
        <w:rPr>
          <w:rFonts w:ascii="Times New Roman" w:hAnsi="Times New Roman" w:cs="Times New Roman"/>
          <w:sz w:val="24"/>
          <w:szCs w:val="24"/>
        </w:rPr>
        <w:t xml:space="preserve"> National de la Recherche Scientifique, Paris, France.</w:t>
      </w:r>
    </w:p>
    <w:p w:rsidR="00F81C27" w:rsidRPr="00493F68" w:rsidRDefault="00F81C27" w:rsidP="00F81C27">
      <w:pPr>
        <w:spacing w:after="0"/>
        <w:ind w:left="720" w:hanging="720"/>
        <w:jc w:val="both"/>
        <w:rPr>
          <w:rFonts w:ascii="Times New Roman" w:hAnsi="Times New Roman" w:cs="Times New Roman"/>
          <w:sz w:val="24"/>
          <w:szCs w:val="24"/>
        </w:rPr>
      </w:pPr>
      <w:r w:rsidRPr="00493F68">
        <w:rPr>
          <w:rFonts w:ascii="Times New Roman" w:hAnsi="Times New Roman" w:cs="Times New Roman"/>
          <w:sz w:val="24"/>
          <w:szCs w:val="24"/>
        </w:rPr>
        <w:t>ICCP, Internationa</w:t>
      </w:r>
      <w:r w:rsidR="00FB11A4">
        <w:rPr>
          <w:rFonts w:ascii="Times New Roman" w:hAnsi="Times New Roman" w:cs="Times New Roman"/>
          <w:sz w:val="24"/>
          <w:szCs w:val="24"/>
        </w:rPr>
        <w:t>l Committee for Coal Petrology, 1971.</w:t>
      </w:r>
      <w:r w:rsidRPr="00493F68">
        <w:rPr>
          <w:rFonts w:ascii="Times New Roman" w:hAnsi="Times New Roman" w:cs="Times New Roman"/>
          <w:sz w:val="24"/>
          <w:szCs w:val="24"/>
        </w:rPr>
        <w:t xml:space="preserve"> International Handbook of Coal Petrology, 1</w:t>
      </w:r>
      <w:r w:rsidRPr="00493F68">
        <w:rPr>
          <w:rFonts w:ascii="Times New Roman" w:hAnsi="Times New Roman" w:cs="Times New Roman"/>
          <w:sz w:val="24"/>
          <w:szCs w:val="24"/>
          <w:vertAlign w:val="superscript"/>
        </w:rPr>
        <w:t>st</w:t>
      </w:r>
      <w:r w:rsidRPr="00493F68">
        <w:rPr>
          <w:rFonts w:ascii="Times New Roman" w:hAnsi="Times New Roman" w:cs="Times New Roman"/>
          <w:sz w:val="24"/>
          <w:szCs w:val="24"/>
        </w:rPr>
        <w:t xml:space="preserve"> supplement to 2</w:t>
      </w:r>
      <w:r w:rsidRPr="00493F68">
        <w:rPr>
          <w:rFonts w:ascii="Times New Roman" w:hAnsi="Times New Roman" w:cs="Times New Roman"/>
          <w:sz w:val="24"/>
          <w:szCs w:val="24"/>
          <w:vertAlign w:val="superscript"/>
        </w:rPr>
        <w:t>nd</w:t>
      </w:r>
      <w:r w:rsidRPr="00493F68">
        <w:rPr>
          <w:rFonts w:ascii="Times New Roman" w:hAnsi="Times New Roman" w:cs="Times New Roman"/>
          <w:sz w:val="24"/>
          <w:szCs w:val="24"/>
        </w:rPr>
        <w:t xml:space="preserve"> edition. </w:t>
      </w:r>
      <w:r w:rsidRPr="00FB11A4">
        <w:rPr>
          <w:rFonts w:ascii="Times New Roman" w:hAnsi="Times New Roman" w:cs="Times New Roman"/>
          <w:i/>
          <w:sz w:val="24"/>
          <w:szCs w:val="24"/>
        </w:rPr>
        <w:t>Centre National de la Recherche Scientifique</w:t>
      </w:r>
      <w:r w:rsidRPr="00493F68">
        <w:rPr>
          <w:rFonts w:ascii="Times New Roman" w:hAnsi="Times New Roman" w:cs="Times New Roman"/>
          <w:sz w:val="24"/>
          <w:szCs w:val="24"/>
        </w:rPr>
        <w:t>, Paris, France.</w:t>
      </w:r>
    </w:p>
    <w:p w:rsidR="00F81C27" w:rsidRPr="00493F68" w:rsidRDefault="00FB11A4" w:rsidP="00F81C27">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Peters, K.E., 1986.</w:t>
      </w:r>
      <w:r w:rsidR="00F81C27" w:rsidRPr="00493F68">
        <w:rPr>
          <w:rFonts w:ascii="Times New Roman" w:hAnsi="Times New Roman" w:cs="Times New Roman"/>
          <w:sz w:val="24"/>
          <w:szCs w:val="24"/>
        </w:rPr>
        <w:t xml:space="preserve"> Guidelines for evaluating petroleum source rock using programmed pyrolysis. </w:t>
      </w:r>
      <w:r w:rsidR="00F81C27" w:rsidRPr="00FB11A4">
        <w:rPr>
          <w:rFonts w:ascii="Times New Roman" w:hAnsi="Times New Roman" w:cs="Times New Roman"/>
          <w:i/>
          <w:sz w:val="24"/>
          <w:szCs w:val="24"/>
        </w:rPr>
        <w:t>American Association of Petroleum Geologists</w:t>
      </w:r>
      <w:r>
        <w:rPr>
          <w:rFonts w:ascii="Times New Roman" w:hAnsi="Times New Roman" w:cs="Times New Roman"/>
          <w:i/>
          <w:sz w:val="24"/>
          <w:szCs w:val="24"/>
        </w:rPr>
        <w:t>,</w:t>
      </w:r>
      <w:r w:rsidR="00F81C27" w:rsidRPr="00FB11A4">
        <w:rPr>
          <w:rFonts w:ascii="Times New Roman" w:hAnsi="Times New Roman" w:cs="Times New Roman"/>
          <w:i/>
          <w:sz w:val="24"/>
          <w:szCs w:val="24"/>
        </w:rPr>
        <w:t xml:space="preserve"> Bulletin</w:t>
      </w:r>
      <w:r w:rsidR="00F81C27" w:rsidRPr="00493F68">
        <w:rPr>
          <w:rFonts w:ascii="Times New Roman" w:hAnsi="Times New Roman" w:cs="Times New Roman"/>
          <w:sz w:val="24"/>
          <w:szCs w:val="24"/>
        </w:rPr>
        <w:t xml:space="preserve">, 70,  </w:t>
      </w:r>
      <w:r>
        <w:rPr>
          <w:rFonts w:ascii="Times New Roman" w:hAnsi="Times New Roman" w:cs="Times New Roman"/>
          <w:sz w:val="24"/>
          <w:szCs w:val="24"/>
        </w:rPr>
        <w:t>p.</w:t>
      </w:r>
      <w:r w:rsidR="00F81C27" w:rsidRPr="00493F68">
        <w:rPr>
          <w:rFonts w:ascii="Times New Roman" w:hAnsi="Times New Roman" w:cs="Times New Roman"/>
          <w:sz w:val="24"/>
          <w:szCs w:val="24"/>
        </w:rPr>
        <w:t>1-36.</w:t>
      </w:r>
    </w:p>
    <w:p w:rsidR="00F81C27" w:rsidRPr="00493F68" w:rsidRDefault="00F81C27" w:rsidP="00F81C27">
      <w:pPr>
        <w:spacing w:after="0"/>
        <w:ind w:left="720" w:hanging="720"/>
        <w:jc w:val="both"/>
        <w:rPr>
          <w:rFonts w:ascii="Times New Roman" w:hAnsi="Times New Roman" w:cs="Times New Roman"/>
          <w:sz w:val="24"/>
          <w:szCs w:val="24"/>
        </w:rPr>
      </w:pPr>
      <w:r w:rsidRPr="00493F68">
        <w:rPr>
          <w:rFonts w:ascii="Times New Roman" w:hAnsi="Times New Roman" w:cs="Times New Roman"/>
          <w:sz w:val="24"/>
          <w:szCs w:val="24"/>
        </w:rPr>
        <w:t>Rad</w:t>
      </w:r>
      <w:r w:rsidR="00FB11A4">
        <w:rPr>
          <w:rFonts w:ascii="Times New Roman" w:hAnsi="Times New Roman" w:cs="Times New Roman"/>
          <w:sz w:val="24"/>
          <w:szCs w:val="24"/>
        </w:rPr>
        <w:t>,F.K., 1984.</w:t>
      </w:r>
      <w:r w:rsidRPr="00493F68">
        <w:rPr>
          <w:rFonts w:ascii="Times New Roman" w:hAnsi="Times New Roman" w:cs="Times New Roman"/>
          <w:sz w:val="24"/>
          <w:szCs w:val="24"/>
        </w:rPr>
        <w:t xml:space="preserve"> Quick Look Source Rock Evaluation by Pyrolysis Technique. </w:t>
      </w:r>
      <w:r w:rsidRPr="00FB11A4">
        <w:rPr>
          <w:rFonts w:ascii="Times New Roman" w:hAnsi="Times New Roman" w:cs="Times New Roman"/>
          <w:i/>
          <w:sz w:val="24"/>
          <w:szCs w:val="24"/>
        </w:rPr>
        <w:t>Proceedings of 13</w:t>
      </w:r>
      <w:r w:rsidRPr="00FB11A4">
        <w:rPr>
          <w:rFonts w:ascii="Times New Roman" w:hAnsi="Times New Roman" w:cs="Times New Roman"/>
          <w:i/>
          <w:sz w:val="24"/>
          <w:szCs w:val="24"/>
          <w:vertAlign w:val="superscript"/>
        </w:rPr>
        <w:t>th</w:t>
      </w:r>
      <w:r w:rsidRPr="00FB11A4">
        <w:rPr>
          <w:rFonts w:ascii="Times New Roman" w:hAnsi="Times New Roman" w:cs="Times New Roman"/>
          <w:i/>
          <w:sz w:val="24"/>
          <w:szCs w:val="24"/>
        </w:rPr>
        <w:t xml:space="preserve"> Annual Convention of Indonesian Petroleum Association</w:t>
      </w:r>
      <w:r w:rsidRPr="00493F68">
        <w:rPr>
          <w:rFonts w:ascii="Times New Roman" w:hAnsi="Times New Roman" w:cs="Times New Roman"/>
          <w:sz w:val="24"/>
          <w:szCs w:val="24"/>
        </w:rPr>
        <w:t xml:space="preserve">, </w:t>
      </w:r>
      <w:r w:rsidR="00FB11A4">
        <w:rPr>
          <w:rFonts w:ascii="Times New Roman" w:hAnsi="Times New Roman" w:cs="Times New Roman"/>
          <w:sz w:val="24"/>
          <w:szCs w:val="24"/>
        </w:rPr>
        <w:t>p.</w:t>
      </w:r>
      <w:r w:rsidRPr="00493F68">
        <w:rPr>
          <w:rFonts w:ascii="Times New Roman" w:hAnsi="Times New Roman" w:cs="Times New Roman"/>
          <w:sz w:val="24"/>
          <w:szCs w:val="24"/>
        </w:rPr>
        <w:t>113-124.</w:t>
      </w:r>
    </w:p>
    <w:p w:rsidR="00F81C27" w:rsidRPr="00493F68" w:rsidRDefault="00FB11A4" w:rsidP="00F81C27">
      <w:pPr>
        <w:pStyle w:val="BodyText2"/>
        <w:spacing w:after="0" w:line="276" w:lineRule="auto"/>
        <w:ind w:left="630" w:hanging="630"/>
        <w:jc w:val="both"/>
      </w:pPr>
      <w:r>
        <w:t>Robert, P.</w:t>
      </w:r>
      <w:r>
        <w:rPr>
          <w:lang w:val="id-ID"/>
        </w:rPr>
        <w:t xml:space="preserve">, </w:t>
      </w:r>
      <w:r>
        <w:t>198</w:t>
      </w:r>
      <w:r>
        <w:rPr>
          <w:lang w:val="id-ID"/>
        </w:rPr>
        <w:t xml:space="preserve">1. </w:t>
      </w:r>
      <w:r w:rsidR="00F81C27" w:rsidRPr="00493F68">
        <w:t xml:space="preserve"> Classification of Organic Matter by Means of Fluorescence: Application to Hydrocarbon Source Rocks. </w:t>
      </w:r>
      <w:proofErr w:type="gramStart"/>
      <w:r w:rsidR="00F81C27" w:rsidRPr="00FB11A4">
        <w:rPr>
          <w:i/>
        </w:rPr>
        <w:t>International Journal of Coal Geology</w:t>
      </w:r>
      <w:r w:rsidR="00F81C27" w:rsidRPr="00493F68">
        <w:t xml:space="preserve">, 1, </w:t>
      </w:r>
      <w:r>
        <w:rPr>
          <w:lang w:val="id-ID"/>
        </w:rPr>
        <w:t>p.</w:t>
      </w:r>
      <w:r w:rsidR="00F81C27" w:rsidRPr="00493F68">
        <w:t>101-137.</w:t>
      </w:r>
      <w:proofErr w:type="gramEnd"/>
    </w:p>
    <w:p w:rsidR="00F81C27" w:rsidRPr="00493F68" w:rsidRDefault="00FB11A4" w:rsidP="00F81C27">
      <w:pPr>
        <w:pStyle w:val="BodyText2"/>
        <w:spacing w:after="0" w:line="276" w:lineRule="auto"/>
        <w:ind w:left="630" w:hanging="630"/>
        <w:jc w:val="both"/>
      </w:pPr>
      <w:proofErr w:type="gramStart"/>
      <w:r>
        <w:t>Sappal, K.K.</w:t>
      </w:r>
      <w:r>
        <w:rPr>
          <w:lang w:val="id-ID"/>
        </w:rPr>
        <w:t xml:space="preserve">, </w:t>
      </w:r>
      <w:r>
        <w:t>1986</w:t>
      </w:r>
      <w:r>
        <w:rPr>
          <w:lang w:val="id-ID"/>
        </w:rPr>
        <w:t>.</w:t>
      </w:r>
      <w:proofErr w:type="gramEnd"/>
      <w:r w:rsidR="00F81C27" w:rsidRPr="00493F68">
        <w:t xml:space="preserve"> Petrography of Collie Coal, Collie Basin, Western Australia. </w:t>
      </w:r>
      <w:proofErr w:type="gramStart"/>
      <w:r w:rsidR="00F81C27" w:rsidRPr="00FB11A4">
        <w:rPr>
          <w:i/>
        </w:rPr>
        <w:t>WAMPRI</w:t>
      </w:r>
      <w:r w:rsidR="00F81C27" w:rsidRPr="00493F68">
        <w:t>, 26, 202p</w:t>
      </w:r>
      <w:r>
        <w:rPr>
          <w:lang w:val="id-ID"/>
        </w:rPr>
        <w:t>p</w:t>
      </w:r>
      <w:r w:rsidR="00F81C27" w:rsidRPr="00493F68">
        <w:t>.</w:t>
      </w:r>
      <w:proofErr w:type="gramEnd"/>
    </w:p>
    <w:p w:rsidR="00F81C27" w:rsidRPr="00493F68" w:rsidRDefault="00F81C27" w:rsidP="00F81C27">
      <w:pPr>
        <w:pStyle w:val="BodyText2"/>
        <w:spacing w:after="0" w:line="276" w:lineRule="auto"/>
        <w:ind w:left="630" w:hanging="630"/>
        <w:jc w:val="both"/>
      </w:pPr>
      <w:proofErr w:type="gramStart"/>
      <w:r w:rsidRPr="00493F68">
        <w:t>Silitong</w:t>
      </w:r>
      <w:r w:rsidR="00FB11A4">
        <w:t>a, P.H. and Kastowo</w:t>
      </w:r>
      <w:r w:rsidR="00FB11A4">
        <w:rPr>
          <w:lang w:val="id-ID"/>
        </w:rPr>
        <w:t xml:space="preserve">, </w:t>
      </w:r>
      <w:r w:rsidR="00FB11A4">
        <w:t>1995</w:t>
      </w:r>
      <w:r w:rsidR="00FB11A4" w:rsidRPr="00FB11A4">
        <w:rPr>
          <w:i/>
          <w:lang w:val="id-ID"/>
        </w:rPr>
        <w:t>.</w:t>
      </w:r>
      <w:proofErr w:type="gramEnd"/>
      <w:r w:rsidRPr="00FB11A4">
        <w:rPr>
          <w:i/>
        </w:rPr>
        <w:t xml:space="preserve">  Geological Map of the Solok Quadrangle, scale 1: 250 000. </w:t>
      </w:r>
      <w:proofErr w:type="gramStart"/>
      <w:r w:rsidRPr="00493F68">
        <w:t>Geological Research and Development Centre, Bandung (2</w:t>
      </w:r>
      <w:r w:rsidRPr="00493F68">
        <w:rPr>
          <w:vertAlign w:val="superscript"/>
        </w:rPr>
        <w:t>nd</w:t>
      </w:r>
      <w:r w:rsidRPr="00493F68">
        <w:t xml:space="preserve"> Edition).</w:t>
      </w:r>
      <w:proofErr w:type="gramEnd"/>
    </w:p>
    <w:p w:rsidR="00F81C27" w:rsidRPr="00493F68" w:rsidRDefault="00F81C27" w:rsidP="00F81C27">
      <w:pPr>
        <w:pStyle w:val="BodyText2"/>
        <w:spacing w:after="0" w:line="276" w:lineRule="auto"/>
        <w:ind w:left="630" w:hanging="630"/>
        <w:jc w:val="both"/>
      </w:pPr>
      <w:r w:rsidRPr="00493F68">
        <w:t>Struck</w:t>
      </w:r>
      <w:r w:rsidR="00FB11A4">
        <w:t>meyer, H.I.M. and Felton, E.A.</w:t>
      </w:r>
      <w:r w:rsidR="00FB11A4">
        <w:rPr>
          <w:lang w:val="id-ID"/>
        </w:rPr>
        <w:t xml:space="preserve">, </w:t>
      </w:r>
      <w:r w:rsidR="00FB11A4">
        <w:t>1990</w:t>
      </w:r>
      <w:r w:rsidR="00FB11A4">
        <w:rPr>
          <w:lang w:val="id-ID"/>
        </w:rPr>
        <w:t>.</w:t>
      </w:r>
      <w:r w:rsidRPr="00493F68">
        <w:t>The use of organic facies for refining palaeoenvironmental interpretations.A case study from the Otway Basin, Australia. Australian Journal of Earth Sciences, 37, 321-370.</w:t>
      </w:r>
    </w:p>
    <w:p w:rsidR="00F81C27" w:rsidRPr="00493F68" w:rsidRDefault="00F81C27" w:rsidP="00F81C27">
      <w:pPr>
        <w:pStyle w:val="BodyTextIndent"/>
        <w:spacing w:line="276" w:lineRule="auto"/>
        <w:rPr>
          <w:spacing w:val="5"/>
        </w:rPr>
      </w:pPr>
      <w:r w:rsidRPr="00493F68">
        <w:rPr>
          <w:spacing w:val="5"/>
          <w:lang w:val="id-ID"/>
        </w:rPr>
        <w:t>Suwarna, N. , Pa</w:t>
      </w:r>
      <w:r w:rsidR="00FB11A4">
        <w:rPr>
          <w:spacing w:val="5"/>
          <w:lang w:val="id-ID"/>
        </w:rPr>
        <w:t>nggabean, H., and Heryanto, R., 2000.</w:t>
      </w:r>
      <w:r w:rsidRPr="00493F68">
        <w:rPr>
          <w:spacing w:val="5"/>
          <w:lang w:val="id-ID"/>
        </w:rPr>
        <w:t xml:space="preserve"> Penelitian Oil Shale Sumatera Bagian Tengah. </w:t>
      </w:r>
      <w:r w:rsidRPr="00FB11A4">
        <w:rPr>
          <w:i/>
          <w:spacing w:val="5"/>
          <w:lang w:val="id-ID"/>
        </w:rPr>
        <w:t>Laporan Internal, PSG</w:t>
      </w:r>
      <w:r w:rsidRPr="00493F68">
        <w:rPr>
          <w:spacing w:val="5"/>
          <w:lang w:val="id-ID"/>
        </w:rPr>
        <w:t>.</w:t>
      </w:r>
    </w:p>
    <w:p w:rsidR="00F81C27" w:rsidRPr="00493F68" w:rsidRDefault="00F81C27" w:rsidP="00F81C27">
      <w:pPr>
        <w:pStyle w:val="BodyTextIndent"/>
        <w:spacing w:line="276" w:lineRule="auto"/>
        <w:rPr>
          <w:lang w:eastAsia="ja-JP"/>
        </w:rPr>
      </w:pPr>
      <w:r w:rsidRPr="00493F68">
        <w:rPr>
          <w:spacing w:val="5"/>
          <w:lang w:val="id-ID"/>
        </w:rPr>
        <w:t>Suwarna, N., Heryanto, R., Hermanto, B., Sundari, D., and Panggabean</w:t>
      </w:r>
      <w:r w:rsidR="00FB11A4">
        <w:rPr>
          <w:spacing w:val="5"/>
          <w:lang w:val="id-ID"/>
        </w:rPr>
        <w:t xml:space="preserve">, H., 2001. </w:t>
      </w:r>
      <w:r w:rsidRPr="00493F68">
        <w:rPr>
          <w:spacing w:val="5"/>
          <w:lang w:val="id-ID"/>
        </w:rPr>
        <w:t xml:space="preserve">Paleontolgy and Fossil Fuel Study in Central Sumatera. </w:t>
      </w:r>
      <w:r w:rsidRPr="00FB11A4">
        <w:rPr>
          <w:i/>
          <w:spacing w:val="5"/>
          <w:lang w:val="id-ID"/>
        </w:rPr>
        <w:t>Internal Report, PSG</w:t>
      </w:r>
      <w:r w:rsidRPr="00493F68">
        <w:rPr>
          <w:spacing w:val="5"/>
          <w:lang w:val="id-ID"/>
        </w:rPr>
        <w:t>.</w:t>
      </w:r>
    </w:p>
    <w:p w:rsidR="00F81C27" w:rsidRPr="00493F68" w:rsidRDefault="00F81C27" w:rsidP="00F81C27">
      <w:pPr>
        <w:spacing w:after="0"/>
        <w:ind w:left="630" w:hanging="630"/>
        <w:jc w:val="both"/>
        <w:rPr>
          <w:rFonts w:ascii="Times New Roman" w:hAnsi="Times New Roman" w:cs="Times New Roman"/>
          <w:sz w:val="24"/>
          <w:szCs w:val="24"/>
        </w:rPr>
      </w:pPr>
      <w:r w:rsidRPr="00493F68">
        <w:rPr>
          <w:rFonts w:ascii="Times New Roman" w:hAnsi="Times New Roman" w:cs="Times New Roman"/>
          <w:sz w:val="24"/>
          <w:szCs w:val="24"/>
        </w:rPr>
        <w:t>Suwarna, N., Pa</w:t>
      </w:r>
      <w:r w:rsidR="00FB11A4">
        <w:rPr>
          <w:rFonts w:ascii="Times New Roman" w:hAnsi="Times New Roman" w:cs="Times New Roman"/>
          <w:sz w:val="24"/>
          <w:szCs w:val="24"/>
        </w:rPr>
        <w:t>nggabean, H., and Heryanto, R. , 2001.</w:t>
      </w:r>
      <w:r w:rsidRPr="00493F68">
        <w:rPr>
          <w:rFonts w:ascii="Times New Roman" w:hAnsi="Times New Roman" w:cs="Times New Roman"/>
          <w:sz w:val="24"/>
          <w:szCs w:val="24"/>
        </w:rPr>
        <w:t xml:space="preserve"> Oil Shale Study in the Kiliran</w:t>
      </w:r>
      <w:r w:rsidR="00FB11A4">
        <w:rPr>
          <w:rFonts w:ascii="Times New Roman" w:hAnsi="Times New Roman" w:cs="Times New Roman"/>
          <w:sz w:val="24"/>
          <w:szCs w:val="24"/>
        </w:rPr>
        <w:t>jao Sub-basin, Central Sumatera.</w:t>
      </w:r>
      <w:r w:rsidRPr="00FB11A4">
        <w:rPr>
          <w:rFonts w:ascii="Times New Roman" w:hAnsi="Times New Roman" w:cs="Times New Roman"/>
          <w:i/>
          <w:sz w:val="24"/>
          <w:szCs w:val="24"/>
        </w:rPr>
        <w:t>Proceedings, IAGI and GEOSEA</w:t>
      </w:r>
      <w:r w:rsidRPr="00493F68">
        <w:rPr>
          <w:rFonts w:ascii="Times New Roman" w:hAnsi="Times New Roman" w:cs="Times New Roman"/>
          <w:sz w:val="24"/>
          <w:szCs w:val="24"/>
        </w:rPr>
        <w:t>, Yogyakarta, Indonesia.</w:t>
      </w:r>
    </w:p>
    <w:p w:rsidR="00FB11A4" w:rsidRDefault="00FB11A4" w:rsidP="000E6576">
      <w:pPr>
        <w:autoSpaceDE w:val="0"/>
        <w:autoSpaceDN w:val="0"/>
        <w:adjustRightInd w:val="0"/>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Widayat, A.H., Anggayana, K., Syafrizal, Heriawan, M.N., Hede, A.N.H., and Al Hakim, A.Y., 2013. Organic Matter Characteristics of the Kiliran and Ombilin Oil Shales.  </w:t>
      </w:r>
      <w:r w:rsidRPr="00937342">
        <w:rPr>
          <w:rFonts w:ascii="Times New Roman" w:hAnsi="Times New Roman" w:cs="Times New Roman"/>
          <w:i/>
          <w:sz w:val="24"/>
          <w:szCs w:val="24"/>
        </w:rPr>
        <w:t>Procedia Earth and Planetary Science</w:t>
      </w:r>
      <w:r>
        <w:rPr>
          <w:rFonts w:ascii="Times New Roman" w:hAnsi="Times New Roman" w:cs="Times New Roman"/>
          <w:sz w:val="24"/>
          <w:szCs w:val="24"/>
        </w:rPr>
        <w:t>,</w:t>
      </w:r>
      <w:r w:rsidRPr="00937342">
        <w:rPr>
          <w:rFonts w:ascii="Times New Roman" w:hAnsi="Times New Roman" w:cs="Times New Roman"/>
          <w:sz w:val="24"/>
          <w:szCs w:val="24"/>
        </w:rPr>
        <w:t xml:space="preserve"> 6</w:t>
      </w:r>
      <w:r>
        <w:rPr>
          <w:rFonts w:ascii="Times New Roman" w:hAnsi="Times New Roman" w:cs="Times New Roman"/>
          <w:sz w:val="24"/>
          <w:szCs w:val="24"/>
        </w:rPr>
        <w:t>,p.</w:t>
      </w:r>
      <w:r w:rsidRPr="00937342">
        <w:rPr>
          <w:rFonts w:ascii="Times New Roman" w:hAnsi="Times New Roman" w:cs="Times New Roman"/>
          <w:sz w:val="24"/>
          <w:szCs w:val="24"/>
        </w:rPr>
        <w:t xml:space="preserve"> 91 – 96</w:t>
      </w:r>
    </w:p>
    <w:p w:rsidR="00F81C27" w:rsidRPr="00493F68" w:rsidRDefault="00F81C27" w:rsidP="000E6576">
      <w:pPr>
        <w:spacing w:after="0"/>
        <w:ind w:left="567" w:hanging="567"/>
        <w:jc w:val="both"/>
        <w:rPr>
          <w:rFonts w:ascii="Times New Roman" w:hAnsi="Times New Roman" w:cs="Times New Roman"/>
          <w:sz w:val="24"/>
          <w:szCs w:val="24"/>
        </w:rPr>
      </w:pPr>
      <w:r w:rsidRPr="00493F68">
        <w:rPr>
          <w:rFonts w:ascii="Times New Roman" w:hAnsi="Times New Roman" w:cs="Times New Roman"/>
          <w:sz w:val="24"/>
          <w:szCs w:val="24"/>
        </w:rPr>
        <w:t xml:space="preserve">Wilson, M.D. and Pittman, E.D. (1979) Authigenic clays in sandstone: Recognised and influence on reservoir properties and palaeoenvironmental analysis. </w:t>
      </w:r>
      <w:r w:rsidRPr="000E6576">
        <w:rPr>
          <w:rFonts w:ascii="Times New Roman" w:hAnsi="Times New Roman" w:cs="Times New Roman"/>
          <w:i/>
          <w:sz w:val="24"/>
          <w:szCs w:val="24"/>
        </w:rPr>
        <w:t>Jour</w:t>
      </w:r>
      <w:r w:rsidR="000E6576" w:rsidRPr="000E6576">
        <w:rPr>
          <w:rFonts w:ascii="Times New Roman" w:hAnsi="Times New Roman" w:cs="Times New Roman"/>
          <w:i/>
          <w:sz w:val="24"/>
          <w:szCs w:val="24"/>
        </w:rPr>
        <w:t>nal of  Sedimentary  Petrology</w:t>
      </w:r>
      <w:r w:rsidR="000E6576">
        <w:rPr>
          <w:rFonts w:ascii="Times New Roman" w:hAnsi="Times New Roman" w:cs="Times New Roman"/>
          <w:sz w:val="24"/>
          <w:szCs w:val="24"/>
        </w:rPr>
        <w:t>,</w:t>
      </w:r>
      <w:r w:rsidRPr="00493F68">
        <w:rPr>
          <w:rFonts w:ascii="Times New Roman" w:hAnsi="Times New Roman" w:cs="Times New Roman"/>
          <w:sz w:val="24"/>
          <w:szCs w:val="24"/>
        </w:rPr>
        <w:t xml:space="preserve"> 47, </w:t>
      </w:r>
      <w:r w:rsidR="000E6576">
        <w:rPr>
          <w:rFonts w:ascii="Times New Roman" w:hAnsi="Times New Roman" w:cs="Times New Roman"/>
          <w:sz w:val="24"/>
          <w:szCs w:val="24"/>
        </w:rPr>
        <w:t>p.</w:t>
      </w:r>
      <w:r w:rsidRPr="00493F68">
        <w:rPr>
          <w:rFonts w:ascii="Times New Roman" w:hAnsi="Times New Roman" w:cs="Times New Roman"/>
          <w:sz w:val="24"/>
          <w:szCs w:val="24"/>
        </w:rPr>
        <w:t xml:space="preserve">3-31. </w:t>
      </w:r>
    </w:p>
    <w:p w:rsidR="00F81C27" w:rsidRPr="00493F68" w:rsidRDefault="00F81C27" w:rsidP="000E6576">
      <w:pPr>
        <w:spacing w:after="0" w:line="240" w:lineRule="auto"/>
        <w:ind w:left="567" w:hanging="567"/>
        <w:rPr>
          <w:rFonts w:ascii="Times New Roman" w:hAnsi="Times New Roman" w:cs="Times New Roman"/>
          <w:sz w:val="24"/>
          <w:szCs w:val="24"/>
        </w:rPr>
      </w:pPr>
    </w:p>
    <w:sectPr w:rsidR="00F81C27" w:rsidRPr="00493F68" w:rsidSect="00F81C27">
      <w:footerReference w:type="default" r:id="rId2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E61" w:rsidRDefault="00A71E61" w:rsidP="00E3617B">
      <w:pPr>
        <w:spacing w:after="0" w:line="240" w:lineRule="auto"/>
      </w:pPr>
      <w:r>
        <w:separator/>
      </w:r>
    </w:p>
  </w:endnote>
  <w:endnote w:type="continuationSeparator" w:id="1">
    <w:p w:rsidR="00A71E61" w:rsidRDefault="00A71E61" w:rsidP="00E361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3539874"/>
      <w:docPartObj>
        <w:docPartGallery w:val="Page Numbers (Bottom of Page)"/>
        <w:docPartUnique/>
      </w:docPartObj>
    </w:sdtPr>
    <w:sdtEndPr>
      <w:rPr>
        <w:rFonts w:ascii="Times New Roman" w:hAnsi="Times New Roman" w:cs="Times New Roman"/>
        <w:noProof/>
        <w:sz w:val="20"/>
        <w:szCs w:val="20"/>
      </w:rPr>
    </w:sdtEndPr>
    <w:sdtContent>
      <w:p w:rsidR="00A71E61" w:rsidRPr="00D65B77" w:rsidRDefault="00000870">
        <w:pPr>
          <w:pStyle w:val="Footer"/>
          <w:jc w:val="center"/>
          <w:rPr>
            <w:rFonts w:ascii="Times New Roman" w:hAnsi="Times New Roman" w:cs="Times New Roman"/>
            <w:sz w:val="20"/>
            <w:szCs w:val="20"/>
          </w:rPr>
        </w:pPr>
        <w:r w:rsidRPr="00D65B77">
          <w:rPr>
            <w:rFonts w:ascii="Times New Roman" w:hAnsi="Times New Roman" w:cs="Times New Roman"/>
            <w:sz w:val="20"/>
            <w:szCs w:val="20"/>
          </w:rPr>
          <w:fldChar w:fldCharType="begin"/>
        </w:r>
        <w:r w:rsidR="00A71E61" w:rsidRPr="00D65B77">
          <w:rPr>
            <w:rFonts w:ascii="Times New Roman" w:hAnsi="Times New Roman" w:cs="Times New Roman"/>
            <w:sz w:val="20"/>
            <w:szCs w:val="20"/>
          </w:rPr>
          <w:instrText xml:space="preserve"> PAGE   \* MERGEFORMAT </w:instrText>
        </w:r>
        <w:r w:rsidRPr="00D65B77">
          <w:rPr>
            <w:rFonts w:ascii="Times New Roman" w:hAnsi="Times New Roman" w:cs="Times New Roman"/>
            <w:sz w:val="20"/>
            <w:szCs w:val="20"/>
          </w:rPr>
          <w:fldChar w:fldCharType="separate"/>
        </w:r>
        <w:r w:rsidR="00C00BA8">
          <w:rPr>
            <w:rFonts w:ascii="Times New Roman" w:hAnsi="Times New Roman" w:cs="Times New Roman"/>
            <w:noProof/>
            <w:sz w:val="20"/>
            <w:szCs w:val="20"/>
          </w:rPr>
          <w:t>17</w:t>
        </w:r>
        <w:r w:rsidRPr="00D65B77">
          <w:rPr>
            <w:rFonts w:ascii="Times New Roman" w:hAnsi="Times New Roman" w:cs="Times New Roman"/>
            <w:noProof/>
            <w:sz w:val="20"/>
            <w:szCs w:val="20"/>
          </w:rPr>
          <w:fldChar w:fldCharType="end"/>
        </w:r>
      </w:p>
    </w:sdtContent>
  </w:sdt>
  <w:p w:rsidR="00A71E61" w:rsidRDefault="00A71E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E61" w:rsidRDefault="00A71E61" w:rsidP="00E3617B">
      <w:pPr>
        <w:spacing w:after="0" w:line="240" w:lineRule="auto"/>
      </w:pPr>
      <w:r>
        <w:separator/>
      </w:r>
    </w:p>
  </w:footnote>
  <w:footnote w:type="continuationSeparator" w:id="1">
    <w:p w:rsidR="00A71E61" w:rsidRDefault="00A71E61" w:rsidP="00E361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7B42F6"/>
    <w:multiLevelType w:val="hybridMultilevel"/>
    <w:tmpl w:val="2B781CF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F81C27"/>
    <w:rsid w:val="00000870"/>
    <w:rsid w:val="000430E6"/>
    <w:rsid w:val="00090681"/>
    <w:rsid w:val="000E6576"/>
    <w:rsid w:val="000E7704"/>
    <w:rsid w:val="00135D80"/>
    <w:rsid w:val="00331785"/>
    <w:rsid w:val="00345F69"/>
    <w:rsid w:val="003B7B4A"/>
    <w:rsid w:val="00493F68"/>
    <w:rsid w:val="00514968"/>
    <w:rsid w:val="00542933"/>
    <w:rsid w:val="00562EFA"/>
    <w:rsid w:val="00644481"/>
    <w:rsid w:val="0068203B"/>
    <w:rsid w:val="007C6953"/>
    <w:rsid w:val="007E53CA"/>
    <w:rsid w:val="00896F31"/>
    <w:rsid w:val="00A71E61"/>
    <w:rsid w:val="00BA6087"/>
    <w:rsid w:val="00BB3FE4"/>
    <w:rsid w:val="00BC4597"/>
    <w:rsid w:val="00C00BA8"/>
    <w:rsid w:val="00CB636C"/>
    <w:rsid w:val="00D02C45"/>
    <w:rsid w:val="00D469FD"/>
    <w:rsid w:val="00E01CF3"/>
    <w:rsid w:val="00E3617B"/>
    <w:rsid w:val="00E46A4E"/>
    <w:rsid w:val="00E51F65"/>
    <w:rsid w:val="00F81C27"/>
    <w:rsid w:val="00F82226"/>
    <w:rsid w:val="00FB11A4"/>
    <w:rsid w:val="00FC17DC"/>
    <w:rsid w:val="00FC48AE"/>
    <w:rsid w:val="00FC548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C27"/>
  </w:style>
  <w:style w:type="paragraph" w:styleId="Heading2">
    <w:name w:val="heading 2"/>
    <w:basedOn w:val="Normal"/>
    <w:link w:val="Heading2Char"/>
    <w:uiPriority w:val="9"/>
    <w:qFormat/>
    <w:rsid w:val="00F81C27"/>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F81C27"/>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1C27"/>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F81C27"/>
    <w:rPr>
      <w:rFonts w:asciiTheme="majorHAnsi" w:eastAsiaTheme="majorEastAsia" w:hAnsiTheme="majorHAnsi" w:cstheme="majorBidi"/>
      <w:b/>
      <w:bCs/>
      <w:color w:val="4F81BD" w:themeColor="accent1"/>
      <w:lang w:val="en-US"/>
    </w:rPr>
  </w:style>
  <w:style w:type="table" w:styleId="TableGrid">
    <w:name w:val="Table Grid"/>
    <w:basedOn w:val="TableNormal"/>
    <w:uiPriority w:val="59"/>
    <w:rsid w:val="00F81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50">
    <w:name w:val="style50"/>
    <w:basedOn w:val="DefaultParagraphFont"/>
    <w:rsid w:val="00F81C27"/>
  </w:style>
  <w:style w:type="paragraph" w:customStyle="1" w:styleId="Tl">
    <w:name w:val="Tl"/>
    <w:basedOn w:val="Normal"/>
    <w:rsid w:val="00F81C27"/>
    <w:pPr>
      <w:spacing w:after="0" w:line="360" w:lineRule="auto"/>
      <w:jc w:val="both"/>
    </w:pPr>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F81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C27"/>
    <w:rPr>
      <w:rFonts w:ascii="Tahoma" w:hAnsi="Tahoma" w:cs="Tahoma"/>
      <w:sz w:val="16"/>
      <w:szCs w:val="16"/>
    </w:rPr>
  </w:style>
  <w:style w:type="paragraph" w:styleId="Header">
    <w:name w:val="header"/>
    <w:basedOn w:val="Normal"/>
    <w:link w:val="HeaderChar"/>
    <w:uiPriority w:val="99"/>
    <w:unhideWhenUsed/>
    <w:rsid w:val="00F81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C27"/>
  </w:style>
  <w:style w:type="paragraph" w:styleId="Footer">
    <w:name w:val="footer"/>
    <w:basedOn w:val="Normal"/>
    <w:link w:val="FooterChar"/>
    <w:uiPriority w:val="99"/>
    <w:unhideWhenUsed/>
    <w:rsid w:val="00F81C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C27"/>
  </w:style>
  <w:style w:type="paragraph" w:styleId="ListParagraph">
    <w:name w:val="List Paragraph"/>
    <w:basedOn w:val="Normal"/>
    <w:uiPriority w:val="34"/>
    <w:qFormat/>
    <w:rsid w:val="00F81C27"/>
    <w:pPr>
      <w:ind w:left="720"/>
      <w:contextualSpacing/>
    </w:pPr>
    <w:rPr>
      <w:lang w:val="en-US"/>
    </w:rPr>
  </w:style>
  <w:style w:type="paragraph" w:styleId="BodyTextIndent">
    <w:name w:val="Body Text Indent"/>
    <w:basedOn w:val="Normal"/>
    <w:link w:val="BodyTextIndentChar"/>
    <w:rsid w:val="00F81C27"/>
    <w:pPr>
      <w:autoSpaceDE w:val="0"/>
      <w:autoSpaceDN w:val="0"/>
      <w:adjustRightInd w:val="0"/>
      <w:spacing w:after="0" w:line="360" w:lineRule="auto"/>
      <w:ind w:left="709" w:hanging="709"/>
      <w:jc w:val="both"/>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F81C27"/>
    <w:rPr>
      <w:rFonts w:ascii="Times New Roman" w:eastAsia="Times New Roman" w:hAnsi="Times New Roman" w:cs="Times New Roman"/>
      <w:sz w:val="24"/>
      <w:szCs w:val="24"/>
      <w:lang w:val="en-US"/>
    </w:rPr>
  </w:style>
  <w:style w:type="paragraph" w:styleId="BodyText2">
    <w:name w:val="Body Text 2"/>
    <w:basedOn w:val="Normal"/>
    <w:link w:val="BodyText2Char"/>
    <w:rsid w:val="00F81C27"/>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F81C27"/>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542933"/>
    <w:pPr>
      <w:spacing w:after="120"/>
    </w:pPr>
  </w:style>
  <w:style w:type="character" w:customStyle="1" w:styleId="BodyTextChar">
    <w:name w:val="Body Text Char"/>
    <w:basedOn w:val="DefaultParagraphFont"/>
    <w:link w:val="BodyText"/>
    <w:uiPriority w:val="99"/>
    <w:semiHidden/>
    <w:rsid w:val="005429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C27"/>
  </w:style>
  <w:style w:type="paragraph" w:styleId="Heading2">
    <w:name w:val="heading 2"/>
    <w:basedOn w:val="Normal"/>
    <w:link w:val="Heading2Char"/>
    <w:uiPriority w:val="9"/>
    <w:qFormat/>
    <w:rsid w:val="00F81C27"/>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F81C27"/>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1C27"/>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F81C27"/>
    <w:rPr>
      <w:rFonts w:asciiTheme="majorHAnsi" w:eastAsiaTheme="majorEastAsia" w:hAnsiTheme="majorHAnsi" w:cstheme="majorBidi"/>
      <w:b/>
      <w:bCs/>
      <w:color w:val="4F81BD" w:themeColor="accent1"/>
      <w:lang w:val="en-US"/>
    </w:rPr>
  </w:style>
  <w:style w:type="table" w:styleId="TableGrid">
    <w:name w:val="Table Grid"/>
    <w:basedOn w:val="TableNormal"/>
    <w:uiPriority w:val="59"/>
    <w:rsid w:val="00F81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50">
    <w:name w:val="style50"/>
    <w:basedOn w:val="DefaultParagraphFont"/>
    <w:rsid w:val="00F81C27"/>
  </w:style>
  <w:style w:type="paragraph" w:customStyle="1" w:styleId="Tl">
    <w:name w:val="Tl"/>
    <w:basedOn w:val="Normal"/>
    <w:rsid w:val="00F81C27"/>
    <w:pPr>
      <w:spacing w:after="0" w:line="360" w:lineRule="auto"/>
      <w:jc w:val="both"/>
    </w:pPr>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F81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C27"/>
    <w:rPr>
      <w:rFonts w:ascii="Tahoma" w:hAnsi="Tahoma" w:cs="Tahoma"/>
      <w:sz w:val="16"/>
      <w:szCs w:val="16"/>
    </w:rPr>
  </w:style>
  <w:style w:type="paragraph" w:styleId="Header">
    <w:name w:val="header"/>
    <w:basedOn w:val="Normal"/>
    <w:link w:val="HeaderChar"/>
    <w:uiPriority w:val="99"/>
    <w:unhideWhenUsed/>
    <w:rsid w:val="00F81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C27"/>
  </w:style>
  <w:style w:type="paragraph" w:styleId="Footer">
    <w:name w:val="footer"/>
    <w:basedOn w:val="Normal"/>
    <w:link w:val="FooterChar"/>
    <w:uiPriority w:val="99"/>
    <w:unhideWhenUsed/>
    <w:rsid w:val="00F81C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C27"/>
  </w:style>
  <w:style w:type="paragraph" w:styleId="ListParagraph">
    <w:name w:val="List Paragraph"/>
    <w:basedOn w:val="Normal"/>
    <w:uiPriority w:val="34"/>
    <w:qFormat/>
    <w:rsid w:val="00F81C27"/>
    <w:pPr>
      <w:ind w:left="720"/>
      <w:contextualSpacing/>
    </w:pPr>
    <w:rPr>
      <w:lang w:val="en-US"/>
    </w:rPr>
  </w:style>
  <w:style w:type="paragraph" w:styleId="BodyTextIndent">
    <w:name w:val="Body Text Indent"/>
    <w:basedOn w:val="Normal"/>
    <w:link w:val="BodyTextIndentChar"/>
    <w:rsid w:val="00F81C27"/>
    <w:pPr>
      <w:autoSpaceDE w:val="0"/>
      <w:autoSpaceDN w:val="0"/>
      <w:adjustRightInd w:val="0"/>
      <w:spacing w:after="0" w:line="360" w:lineRule="auto"/>
      <w:ind w:left="709" w:hanging="709"/>
      <w:jc w:val="both"/>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F81C27"/>
    <w:rPr>
      <w:rFonts w:ascii="Times New Roman" w:eastAsia="Times New Roman" w:hAnsi="Times New Roman" w:cs="Times New Roman"/>
      <w:sz w:val="24"/>
      <w:szCs w:val="24"/>
      <w:lang w:val="en-US"/>
    </w:rPr>
  </w:style>
  <w:style w:type="paragraph" w:styleId="BodyText2">
    <w:name w:val="Body Text 2"/>
    <w:basedOn w:val="Normal"/>
    <w:link w:val="BodyText2Char"/>
    <w:rsid w:val="00F81C27"/>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F81C27"/>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2.bin"/><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4.emf"/><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oleObject" Target="embeddings/oleObject3.bin"/><Relationship Id="rId23" Type="http://schemas.microsoft.com/office/2007/relationships/stylesWithEffects" Target="stylesWithEffects.xml"/><Relationship Id="rId10" Type="http://schemas.openxmlformats.org/officeDocument/2006/relationships/image" Target="media/image2.jpe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www.answers.com/topic/destructive-distillation" TargetMode="External"/><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17</Pages>
  <Words>6503</Words>
  <Characters>37073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LENOVO</cp:lastModifiedBy>
  <cp:revision>5</cp:revision>
  <dcterms:created xsi:type="dcterms:W3CDTF">2014-11-27T09:57:00Z</dcterms:created>
  <dcterms:modified xsi:type="dcterms:W3CDTF">2014-11-27T14:11:00Z</dcterms:modified>
</cp:coreProperties>
</file>